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6" w:rsidRPr="00DF6CA0" w:rsidRDefault="00D63DBA" w:rsidP="004B7C8B">
      <w:pPr>
        <w:spacing w:after="120"/>
        <w:jc w:val="center"/>
        <w:rPr>
          <w:b/>
          <w:bCs/>
          <w:sz w:val="28"/>
          <w:szCs w:val="28"/>
          <w:lang w:val="en-GB"/>
        </w:rPr>
      </w:pPr>
      <w:r w:rsidRPr="00DF6CA0">
        <w:rPr>
          <w:b/>
          <w:bCs/>
          <w:sz w:val="28"/>
          <w:szCs w:val="28"/>
          <w:lang w:val="en-GB"/>
        </w:rPr>
        <w:t>L</w:t>
      </w:r>
      <w:r w:rsidR="00855CB1" w:rsidRPr="00DF6CA0">
        <w:rPr>
          <w:b/>
          <w:bCs/>
          <w:sz w:val="28"/>
          <w:szCs w:val="28"/>
          <w:lang w:val="en-GB"/>
        </w:rPr>
        <w:t xml:space="preserve">EITI – </w:t>
      </w:r>
      <w:r w:rsidRPr="00DF6CA0">
        <w:rPr>
          <w:b/>
          <w:bCs/>
          <w:sz w:val="28"/>
          <w:szCs w:val="28"/>
          <w:lang w:val="en-GB"/>
        </w:rPr>
        <w:t>2012-</w:t>
      </w:r>
      <w:r w:rsidR="00F6600B" w:rsidRPr="00DF6CA0">
        <w:rPr>
          <w:b/>
          <w:bCs/>
          <w:sz w:val="28"/>
          <w:szCs w:val="28"/>
          <w:lang w:val="en-GB"/>
        </w:rPr>
        <w:t>2013</w:t>
      </w:r>
      <w:r w:rsidR="00342B36" w:rsidRPr="00DF6CA0">
        <w:rPr>
          <w:b/>
          <w:bCs/>
          <w:sz w:val="28"/>
          <w:szCs w:val="28"/>
          <w:lang w:val="en-GB"/>
        </w:rPr>
        <w:t xml:space="preserve"> Reconciliation</w:t>
      </w:r>
      <w:r w:rsidR="000020D8" w:rsidRPr="00DF6CA0">
        <w:rPr>
          <w:b/>
          <w:bCs/>
          <w:sz w:val="28"/>
          <w:szCs w:val="28"/>
          <w:lang w:val="en-GB"/>
        </w:rPr>
        <w:t xml:space="preserve"> Exercise</w:t>
      </w:r>
    </w:p>
    <w:p w:rsidR="00342B36" w:rsidRPr="00DF6CA0" w:rsidRDefault="00342B36" w:rsidP="004B7C8B">
      <w:pPr>
        <w:jc w:val="center"/>
        <w:rPr>
          <w:sz w:val="24"/>
          <w:szCs w:val="24"/>
          <w:lang w:val="en-GB"/>
        </w:rPr>
      </w:pPr>
      <w:r w:rsidRPr="00DF6CA0">
        <w:rPr>
          <w:sz w:val="24"/>
          <w:szCs w:val="24"/>
          <w:lang w:val="en-GB"/>
        </w:rPr>
        <w:t xml:space="preserve">Instructions for completion of Templates </w:t>
      </w:r>
      <w:r w:rsidR="00C236E8" w:rsidRPr="00DF6CA0">
        <w:rPr>
          <w:sz w:val="24"/>
          <w:szCs w:val="24"/>
          <w:lang w:val="en-GB"/>
        </w:rPr>
        <w:t>and Supporting Schedules</w:t>
      </w:r>
    </w:p>
    <w:p w:rsidR="00317A9A" w:rsidRPr="00DF6CA0" w:rsidRDefault="00317A9A" w:rsidP="00342B36">
      <w:pPr>
        <w:spacing w:after="240"/>
        <w:jc w:val="both"/>
        <w:rPr>
          <w:rFonts w:cs="Times New Roman"/>
          <w:bCs/>
          <w:lang w:val="en-GB"/>
        </w:rPr>
      </w:pPr>
    </w:p>
    <w:p w:rsidR="008662DB" w:rsidRPr="00DF6CA0" w:rsidRDefault="00354E4F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Timetable</w:t>
      </w:r>
    </w:p>
    <w:p w:rsidR="00855CB1" w:rsidRPr="00DF6CA0" w:rsidRDefault="00F6600B" w:rsidP="00855CB1">
      <w:pPr>
        <w:spacing w:after="120"/>
        <w:jc w:val="both"/>
        <w:rPr>
          <w:rFonts w:cs="Times New Roman"/>
          <w:lang w:val="en-GB"/>
        </w:rPr>
      </w:pPr>
      <w:r w:rsidRPr="00DF6CA0">
        <w:rPr>
          <w:rFonts w:cs="Times New Roman"/>
          <w:lang w:val="en-GB"/>
        </w:rPr>
        <w:t xml:space="preserve">All certified </w:t>
      </w:r>
      <w:r w:rsidR="00855CB1" w:rsidRPr="00DF6CA0">
        <w:rPr>
          <w:rFonts w:cs="Times New Roman"/>
          <w:lang w:val="en-GB"/>
        </w:rPr>
        <w:t>reporting templates and supporting schedules (</w:t>
      </w:r>
      <w:r w:rsidR="00855CB1" w:rsidRPr="00DF6CA0">
        <w:rPr>
          <w:rFonts w:cs="Times New Roman"/>
          <w:b/>
          <w:lang w:val="en-GB"/>
        </w:rPr>
        <w:t>soft copies</w:t>
      </w:r>
      <w:r w:rsidRPr="00DF6CA0">
        <w:rPr>
          <w:rFonts w:cs="Times New Roman"/>
          <w:b/>
          <w:lang w:val="en-GB"/>
        </w:rPr>
        <w:t xml:space="preserve"> and </w:t>
      </w:r>
      <w:r w:rsidRPr="00DF6CA0">
        <w:rPr>
          <w:rFonts w:cs="Times New Roman"/>
          <w:b/>
          <w:bCs/>
          <w:lang w:val="en-GB"/>
        </w:rPr>
        <w:t>hard copies</w:t>
      </w:r>
      <w:r w:rsidR="00855CB1" w:rsidRPr="00DF6CA0">
        <w:rPr>
          <w:rFonts w:cs="Times New Roman"/>
          <w:lang w:val="en-GB"/>
        </w:rPr>
        <w:t xml:space="preserve">) should be completed and submitted to the ZEITI Reconciler no later than </w:t>
      </w:r>
      <w:r w:rsidR="00DB4DA6" w:rsidRPr="00DF6CA0">
        <w:rPr>
          <w:rFonts w:cs="Times New Roman"/>
          <w:b/>
          <w:u w:val="single"/>
          <w:lang w:val="en-GB"/>
        </w:rPr>
        <w:t>Friday</w:t>
      </w:r>
      <w:r w:rsidR="00855CB1" w:rsidRPr="00DF6CA0">
        <w:rPr>
          <w:rFonts w:cs="Times New Roman"/>
          <w:b/>
          <w:u w:val="single"/>
          <w:lang w:val="en-GB"/>
        </w:rPr>
        <w:t xml:space="preserve"> </w:t>
      </w:r>
      <w:r w:rsidR="00D63DBA" w:rsidRPr="00DF6CA0">
        <w:rPr>
          <w:rFonts w:cs="Times New Roman"/>
          <w:b/>
          <w:u w:val="single"/>
          <w:lang w:val="en-GB"/>
        </w:rPr>
        <w:t>19 June 2015</w:t>
      </w:r>
      <w:r w:rsidR="00855CB1" w:rsidRPr="00DF6CA0">
        <w:rPr>
          <w:rFonts w:cs="Times New Roman"/>
          <w:lang w:val="en-GB"/>
        </w:rPr>
        <w:t>.</w:t>
      </w:r>
    </w:p>
    <w:p w:rsidR="00C236E8" w:rsidRPr="00DF6CA0" w:rsidRDefault="00855CB1" w:rsidP="00C62DE1">
      <w:pPr>
        <w:spacing w:after="240"/>
        <w:jc w:val="both"/>
        <w:rPr>
          <w:rFonts w:cs="Times New Roman"/>
          <w:bCs/>
          <w:lang w:val="en-GB" w:bidi="ar-TN"/>
        </w:rPr>
      </w:pPr>
      <w:r w:rsidRPr="00DF6CA0">
        <w:rPr>
          <w:rFonts w:cs="Times New Roman"/>
          <w:bCs/>
          <w:lang w:val="en-GB" w:bidi="ar-TN"/>
        </w:rPr>
        <w:t>The reconciliation work will be carried out from</w:t>
      </w:r>
      <w:r w:rsidR="00A239CA" w:rsidRPr="00DF6CA0">
        <w:rPr>
          <w:rFonts w:cs="Times New Roman"/>
          <w:bCs/>
          <w:lang w:val="en-GB" w:bidi="ar-TN"/>
        </w:rPr>
        <w:t xml:space="preserve"> </w:t>
      </w:r>
      <w:r w:rsidR="00D63DBA" w:rsidRPr="008A79EF">
        <w:rPr>
          <w:rFonts w:cs="Times New Roman"/>
          <w:bCs/>
          <w:lang w:val="en-GB" w:bidi="ar-TN"/>
        </w:rPr>
        <w:t>22</w:t>
      </w:r>
      <w:r w:rsidRPr="008A79EF">
        <w:rPr>
          <w:rFonts w:cs="Times New Roman"/>
          <w:bCs/>
          <w:lang w:val="en-GB" w:bidi="ar-TN"/>
        </w:rPr>
        <w:t xml:space="preserve"> </w:t>
      </w:r>
      <w:r w:rsidR="00D63DBA" w:rsidRPr="008A79EF">
        <w:rPr>
          <w:rFonts w:cs="Times New Roman"/>
          <w:bCs/>
          <w:lang w:val="en-GB" w:bidi="ar-TN"/>
        </w:rPr>
        <w:t>June 2015</w:t>
      </w:r>
      <w:r w:rsidRPr="008A79EF">
        <w:rPr>
          <w:rFonts w:cs="Times New Roman"/>
          <w:bCs/>
          <w:lang w:val="en-GB" w:bidi="ar-TN"/>
        </w:rPr>
        <w:t xml:space="preserve"> to </w:t>
      </w:r>
      <w:r w:rsidR="00D63DBA" w:rsidRPr="008A79EF">
        <w:rPr>
          <w:rFonts w:cs="Times New Roman"/>
          <w:bCs/>
          <w:lang w:val="en-GB" w:bidi="ar-TN"/>
        </w:rPr>
        <w:t>10 July 2015</w:t>
      </w:r>
      <w:r w:rsidRPr="008A79EF">
        <w:rPr>
          <w:rFonts w:cs="Times New Roman"/>
          <w:bCs/>
          <w:lang w:val="en-GB" w:bidi="ar-TN"/>
        </w:rPr>
        <w:t>.</w:t>
      </w:r>
      <w:r w:rsidRPr="00DF6CA0">
        <w:rPr>
          <w:rFonts w:cs="Times New Roman"/>
          <w:bCs/>
          <w:lang w:val="en-GB" w:bidi="ar-TN"/>
        </w:rPr>
        <w:t xml:space="preserve"> During this period, extractive companies and government agencies are requested to remain available to provide any information or documents that may help in the recon</w:t>
      </w:r>
      <w:bookmarkStart w:id="0" w:name="_GoBack"/>
      <w:bookmarkEnd w:id="0"/>
      <w:r w:rsidRPr="00DF6CA0">
        <w:rPr>
          <w:rFonts w:cs="Times New Roman"/>
          <w:bCs/>
          <w:lang w:val="en-GB" w:bidi="ar-TN"/>
        </w:rPr>
        <w:t>ciliation work.</w:t>
      </w:r>
    </w:p>
    <w:p w:rsidR="00705445" w:rsidRPr="00DF6CA0" w:rsidRDefault="00C54305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Lodgement</w:t>
      </w:r>
    </w:p>
    <w:p w:rsidR="00FA5704" w:rsidRPr="00DF6CA0" w:rsidRDefault="00FA5704" w:rsidP="00342B36">
      <w:pPr>
        <w:spacing w:after="240"/>
        <w:jc w:val="both"/>
        <w:rPr>
          <w:rFonts w:cs="Times New Roman"/>
          <w:bCs/>
          <w:lang w:val="en-GB"/>
        </w:rPr>
      </w:pPr>
      <w:r w:rsidRPr="00DF6CA0">
        <w:rPr>
          <w:rFonts w:cs="Times New Roman"/>
          <w:bCs/>
          <w:lang w:val="en-GB"/>
        </w:rPr>
        <w:t>Both hard and soft copies of the c</w:t>
      </w:r>
      <w:r w:rsidR="00705445" w:rsidRPr="00DF6CA0">
        <w:rPr>
          <w:rFonts w:cs="Times New Roman"/>
          <w:bCs/>
          <w:lang w:val="en-GB"/>
        </w:rPr>
        <w:t xml:space="preserve">ompleted templates </w:t>
      </w:r>
      <w:r w:rsidR="00671F23" w:rsidRPr="00DF6CA0">
        <w:rPr>
          <w:rFonts w:cs="Times New Roman"/>
          <w:bCs/>
          <w:lang w:val="en-GB"/>
        </w:rPr>
        <w:t xml:space="preserve">and supporting schedules </w:t>
      </w:r>
      <w:r w:rsidR="00705445" w:rsidRPr="00DF6CA0">
        <w:rPr>
          <w:rFonts w:cs="Times New Roman"/>
          <w:bCs/>
          <w:lang w:val="en-GB"/>
        </w:rPr>
        <w:t>should</w:t>
      </w:r>
      <w:r w:rsidRPr="00DF6CA0">
        <w:rPr>
          <w:rFonts w:cs="Times New Roman"/>
          <w:bCs/>
          <w:lang w:val="en-GB"/>
        </w:rPr>
        <w:t xml:space="preserve"> </w:t>
      </w:r>
      <w:r w:rsidR="008E3CC6" w:rsidRPr="00DF6CA0">
        <w:rPr>
          <w:rFonts w:cs="Times New Roman"/>
          <w:bCs/>
          <w:lang w:val="en-GB"/>
        </w:rPr>
        <w:t xml:space="preserve">be </w:t>
      </w:r>
      <w:r w:rsidR="003A265D" w:rsidRPr="00DF6CA0">
        <w:rPr>
          <w:rFonts w:cs="Times New Roman"/>
          <w:bCs/>
          <w:lang w:val="en-GB"/>
        </w:rPr>
        <w:t xml:space="preserve">submitted/ </w:t>
      </w:r>
      <w:r w:rsidRPr="00DF6CA0">
        <w:rPr>
          <w:rFonts w:cs="Times New Roman"/>
          <w:bCs/>
          <w:lang w:val="en-GB"/>
        </w:rPr>
        <w:t>lodged by each</w:t>
      </w:r>
      <w:r w:rsidR="00D63DBA" w:rsidRPr="00DF6CA0">
        <w:rPr>
          <w:rFonts w:cs="Times New Roman"/>
          <w:bCs/>
          <w:lang w:val="en-GB"/>
        </w:rPr>
        <w:t xml:space="preserve"> reporting entity</w:t>
      </w:r>
      <w:r w:rsidRPr="00DF6CA0">
        <w:rPr>
          <w:rFonts w:cs="Times New Roman"/>
          <w:bCs/>
          <w:lang w:val="en-GB"/>
        </w:rPr>
        <w:t>.</w:t>
      </w:r>
    </w:p>
    <w:p w:rsidR="00855CB1" w:rsidRPr="00DF6CA0" w:rsidRDefault="00855CB1" w:rsidP="00855CB1">
      <w:pPr>
        <w:spacing w:after="120"/>
        <w:jc w:val="both"/>
        <w:rPr>
          <w:lang w:val="en-GB"/>
        </w:rPr>
      </w:pPr>
      <w:r w:rsidRPr="00DF6CA0">
        <w:rPr>
          <w:lang w:val="en-GB"/>
        </w:rPr>
        <w:t xml:space="preserve">The soft copies in Excel (and not PDF) should be emailed only to: </w:t>
      </w:r>
      <w:hyperlink r:id="rId9" w:history="1">
        <w:r w:rsidR="00D63DBA" w:rsidRPr="00DF6CA0">
          <w:rPr>
            <w:rStyle w:val="Hyperlink"/>
            <w:lang w:val="en-GB"/>
          </w:rPr>
          <w:t>leiti@moorestephens.com</w:t>
        </w:r>
      </w:hyperlink>
      <w:r w:rsidRPr="00DF6CA0">
        <w:rPr>
          <w:lang w:val="en-GB"/>
        </w:rPr>
        <w:t>.</w:t>
      </w:r>
    </w:p>
    <w:p w:rsidR="00BF1ED1" w:rsidRPr="00DF6CA0" w:rsidRDefault="00671F23" w:rsidP="00FC35DB">
      <w:pPr>
        <w:spacing w:after="120"/>
        <w:jc w:val="both"/>
        <w:rPr>
          <w:lang w:val="en-GB"/>
        </w:rPr>
      </w:pPr>
      <w:r w:rsidRPr="00DF6CA0">
        <w:rPr>
          <w:lang w:val="en-GB"/>
        </w:rPr>
        <w:t>The h</w:t>
      </w:r>
      <w:r w:rsidR="00FA5704" w:rsidRPr="00DF6CA0">
        <w:rPr>
          <w:lang w:val="en-GB"/>
        </w:rPr>
        <w:t xml:space="preserve">ard copies </w:t>
      </w:r>
      <w:r w:rsidR="00BF1ED1" w:rsidRPr="00DF6CA0">
        <w:rPr>
          <w:lang w:val="en-GB"/>
        </w:rPr>
        <w:t xml:space="preserve">of the completed </w:t>
      </w:r>
      <w:r w:rsidR="00C76A53" w:rsidRPr="00DF6CA0">
        <w:rPr>
          <w:lang w:val="en-GB"/>
        </w:rPr>
        <w:t xml:space="preserve">certified </w:t>
      </w:r>
      <w:r w:rsidR="00BF1ED1" w:rsidRPr="00DF6CA0">
        <w:rPr>
          <w:lang w:val="en-GB"/>
        </w:rPr>
        <w:t>templates and supporting schedule</w:t>
      </w:r>
      <w:r w:rsidR="00FC35DB" w:rsidRPr="00DF6CA0">
        <w:rPr>
          <w:lang w:val="en-GB"/>
        </w:rPr>
        <w:t>s</w:t>
      </w:r>
      <w:r w:rsidR="00BF1ED1" w:rsidRPr="00DF6CA0">
        <w:rPr>
          <w:lang w:val="en-GB"/>
        </w:rPr>
        <w:t xml:space="preserve"> </w:t>
      </w:r>
      <w:r w:rsidR="001704C1" w:rsidRPr="00DF6CA0">
        <w:rPr>
          <w:lang w:val="en-GB"/>
        </w:rPr>
        <w:t xml:space="preserve">with original signatures </w:t>
      </w:r>
      <w:r w:rsidRPr="00DF6CA0">
        <w:rPr>
          <w:lang w:val="en-GB"/>
        </w:rPr>
        <w:t>must</w:t>
      </w:r>
      <w:r w:rsidR="00FA5704" w:rsidRPr="00DF6CA0">
        <w:rPr>
          <w:lang w:val="en-GB"/>
        </w:rPr>
        <w:t xml:space="preserve"> </w:t>
      </w:r>
      <w:r w:rsidRPr="00DF6CA0">
        <w:rPr>
          <w:lang w:val="en-GB"/>
        </w:rPr>
        <w:t xml:space="preserve">only </w:t>
      </w:r>
      <w:r w:rsidR="00FA5704" w:rsidRPr="00DF6CA0">
        <w:rPr>
          <w:lang w:val="en-GB"/>
        </w:rPr>
        <w:t xml:space="preserve">be </w:t>
      </w:r>
      <w:r w:rsidR="00945864" w:rsidRPr="00DF6CA0">
        <w:rPr>
          <w:lang w:val="en-GB"/>
        </w:rPr>
        <w:t xml:space="preserve">deposited </w:t>
      </w:r>
      <w:r w:rsidR="00BF1ED1" w:rsidRPr="00DF6CA0">
        <w:rPr>
          <w:lang w:val="en-GB"/>
        </w:rPr>
        <w:t xml:space="preserve">in a </w:t>
      </w:r>
      <w:r w:rsidR="00BF1ED1" w:rsidRPr="00DF6CA0">
        <w:rPr>
          <w:u w:val="single"/>
          <w:lang w:val="en-GB"/>
        </w:rPr>
        <w:t>sealed</w:t>
      </w:r>
      <w:r w:rsidR="00BF1ED1" w:rsidRPr="00DF6CA0">
        <w:rPr>
          <w:lang w:val="en-GB"/>
        </w:rPr>
        <w:t xml:space="preserve"> envelope </w:t>
      </w:r>
      <w:r w:rsidR="00945864" w:rsidRPr="00DF6CA0">
        <w:rPr>
          <w:lang w:val="en-GB"/>
        </w:rPr>
        <w:t>at</w:t>
      </w:r>
      <w:r w:rsidR="008E3CC6" w:rsidRPr="00DF6CA0">
        <w:rPr>
          <w:lang w:val="en-GB"/>
        </w:rPr>
        <w:t xml:space="preserve">: </w:t>
      </w:r>
    </w:p>
    <w:p w:rsidR="00B564EB" w:rsidRPr="00DF6CA0" w:rsidRDefault="00D63DBA" w:rsidP="00C236E8">
      <w:pPr>
        <w:ind w:left="360"/>
        <w:jc w:val="both"/>
        <w:rPr>
          <w:rFonts w:cs="Times New Roman"/>
          <w:b/>
          <w:lang w:val="en-GB"/>
        </w:rPr>
      </w:pPr>
      <w:r w:rsidRPr="00DF6CA0">
        <w:rPr>
          <w:rFonts w:cs="Times New Roman"/>
          <w:b/>
          <w:lang w:val="en-GB"/>
        </w:rPr>
        <w:t>Liberia</w:t>
      </w:r>
      <w:r w:rsidR="00B564EB" w:rsidRPr="00DF6CA0">
        <w:rPr>
          <w:rFonts w:cs="Times New Roman"/>
          <w:b/>
          <w:lang w:val="en-GB"/>
        </w:rPr>
        <w:t xml:space="preserve"> Extractive Industries Transparency Initiative Secretariat</w:t>
      </w:r>
      <w:r w:rsidRPr="00DF6CA0">
        <w:rPr>
          <w:rFonts w:cs="Times New Roman"/>
          <w:b/>
          <w:lang w:val="en-GB"/>
        </w:rPr>
        <w:t xml:space="preserve"> - LEITI</w:t>
      </w:r>
    </w:p>
    <w:p w:rsidR="00D63DBA" w:rsidRPr="00DF6CA0" w:rsidRDefault="00D63DBA" w:rsidP="00D63DBA">
      <w:pPr>
        <w:ind w:left="360"/>
        <w:jc w:val="both"/>
        <w:rPr>
          <w:rFonts w:cs="Times New Roman"/>
          <w:b/>
          <w:lang w:val="en-GB"/>
        </w:rPr>
      </w:pPr>
      <w:r w:rsidRPr="00DF6CA0">
        <w:rPr>
          <w:rFonts w:cs="Times New Roman"/>
          <w:b/>
          <w:lang w:val="en-GB"/>
        </w:rPr>
        <w:t>Old Bureau of the Budget Building</w:t>
      </w:r>
    </w:p>
    <w:p w:rsidR="00D63DBA" w:rsidRPr="00DF6CA0" w:rsidRDefault="00D63DBA" w:rsidP="00D63DBA">
      <w:pPr>
        <w:ind w:left="360"/>
        <w:jc w:val="both"/>
        <w:rPr>
          <w:rFonts w:cs="Times New Roman"/>
          <w:b/>
          <w:lang w:val="en-GB"/>
        </w:rPr>
      </w:pPr>
      <w:r w:rsidRPr="00DF6CA0">
        <w:rPr>
          <w:rFonts w:cs="Times New Roman"/>
          <w:b/>
          <w:lang w:val="en-GB"/>
        </w:rPr>
        <w:t>Capitol Hill</w:t>
      </w:r>
    </w:p>
    <w:p w:rsidR="00D63DBA" w:rsidRPr="00DF6CA0" w:rsidRDefault="00D63DBA" w:rsidP="00D63DBA">
      <w:pPr>
        <w:ind w:left="360"/>
        <w:jc w:val="both"/>
        <w:rPr>
          <w:rFonts w:cs="Times New Roman"/>
          <w:b/>
          <w:lang w:val="en-GB"/>
        </w:rPr>
      </w:pPr>
      <w:r w:rsidRPr="00DF6CA0">
        <w:rPr>
          <w:rFonts w:cs="Times New Roman"/>
          <w:b/>
          <w:lang w:val="en-GB"/>
        </w:rPr>
        <w:t>Monrovia, Liberia</w:t>
      </w:r>
    </w:p>
    <w:p w:rsidR="00B564EB" w:rsidRPr="00DF6CA0" w:rsidRDefault="00B564EB" w:rsidP="004B7C8B">
      <w:pPr>
        <w:ind w:left="360"/>
        <w:jc w:val="both"/>
        <w:rPr>
          <w:rFonts w:cs="Times New Roman"/>
          <w:b/>
          <w:lang w:val="en-GB"/>
        </w:rPr>
      </w:pPr>
    </w:p>
    <w:p w:rsidR="00C236E8" w:rsidRPr="00DF6CA0" w:rsidRDefault="00C236E8" w:rsidP="00D63DBA">
      <w:pPr>
        <w:ind w:left="360"/>
        <w:jc w:val="both"/>
        <w:rPr>
          <w:rFonts w:cs="Times New Roman"/>
          <w:b/>
          <w:lang w:val="en-GB"/>
        </w:rPr>
      </w:pPr>
    </w:p>
    <w:p w:rsidR="00244B76" w:rsidRPr="00DF6CA0" w:rsidRDefault="00EA1805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Reporting </w:t>
      </w:r>
      <w:r w:rsidR="00244B76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Templates</w:t>
      </w:r>
      <w:r w:rsidR="005158A0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 and supporting schedules</w:t>
      </w:r>
    </w:p>
    <w:p w:rsidR="00C3711A" w:rsidRPr="00DF6CA0" w:rsidRDefault="005158A0" w:rsidP="005158A0">
      <w:pPr>
        <w:spacing w:after="120"/>
        <w:jc w:val="both"/>
        <w:rPr>
          <w:lang w:val="en-GB"/>
        </w:rPr>
      </w:pPr>
      <w:r w:rsidRPr="00DF6CA0">
        <w:rPr>
          <w:lang w:val="en-GB"/>
        </w:rPr>
        <w:t xml:space="preserve">The </w:t>
      </w:r>
      <w:r w:rsidRPr="00DF6CA0">
        <w:rPr>
          <w:b/>
          <w:lang w:val="en-GB"/>
        </w:rPr>
        <w:t xml:space="preserve">Reporting </w:t>
      </w:r>
      <w:r w:rsidR="00D63DBA" w:rsidRPr="00DF6CA0">
        <w:rPr>
          <w:b/>
          <w:lang w:val="en-GB"/>
        </w:rPr>
        <w:t xml:space="preserve">Package </w:t>
      </w:r>
      <w:r w:rsidRPr="00DF6CA0">
        <w:rPr>
          <w:lang w:val="en-GB"/>
        </w:rPr>
        <w:t xml:space="preserve">includes </w:t>
      </w:r>
      <w:r w:rsidR="00D63DBA" w:rsidRPr="00DF6CA0">
        <w:rPr>
          <w:lang w:val="en-GB"/>
        </w:rPr>
        <w:t>six (6</w:t>
      </w:r>
      <w:r w:rsidR="00C3711A" w:rsidRPr="00DF6CA0">
        <w:rPr>
          <w:lang w:val="en-GB"/>
        </w:rPr>
        <w:t xml:space="preserve">) </w:t>
      </w:r>
      <w:r w:rsidR="00375B92" w:rsidRPr="00DF6CA0">
        <w:rPr>
          <w:lang w:val="en-GB"/>
        </w:rPr>
        <w:t>sheets;</w:t>
      </w:r>
      <w:r w:rsidR="00F76B6A" w:rsidRPr="00DF6CA0">
        <w:rPr>
          <w:lang w:val="en-GB"/>
        </w:rPr>
        <w:t xml:space="preserve"> </w:t>
      </w:r>
      <w:r w:rsidR="00375B92" w:rsidRPr="00DF6CA0">
        <w:rPr>
          <w:lang w:val="en-GB"/>
        </w:rPr>
        <w:t xml:space="preserve">in addition to the payment/receipt </w:t>
      </w:r>
      <w:r w:rsidR="00D63DBA" w:rsidRPr="00DF6CA0">
        <w:rPr>
          <w:lang w:val="en-GB"/>
        </w:rPr>
        <w:t>report</w:t>
      </w:r>
      <w:r w:rsidR="00A239CA" w:rsidRPr="00DF6CA0">
        <w:rPr>
          <w:lang w:val="en-GB"/>
        </w:rPr>
        <w:t>,</w:t>
      </w:r>
      <w:r w:rsidR="00375B92" w:rsidRPr="00DF6CA0">
        <w:rPr>
          <w:lang w:val="en-GB"/>
        </w:rPr>
        <w:t xml:space="preserve"> other information </w:t>
      </w:r>
      <w:r w:rsidRPr="00DF6CA0">
        <w:rPr>
          <w:lang w:val="en-GB"/>
        </w:rPr>
        <w:t>is</w:t>
      </w:r>
      <w:r w:rsidR="00375B92" w:rsidRPr="00DF6CA0">
        <w:rPr>
          <w:lang w:val="en-GB"/>
        </w:rPr>
        <w:t xml:space="preserve"> required from reporting entities according to the new EITI </w:t>
      </w:r>
      <w:r w:rsidR="00A239CA" w:rsidRPr="00DF6CA0">
        <w:rPr>
          <w:lang w:val="en-GB"/>
        </w:rPr>
        <w:t>Standard</w:t>
      </w:r>
      <w:r w:rsidR="00375B92" w:rsidRPr="00DF6CA0">
        <w:rPr>
          <w:lang w:val="en-GB"/>
        </w:rPr>
        <w:t xml:space="preserve">. The table below shows a summary of templates and supporting schedules to be </w:t>
      </w:r>
      <w:r w:rsidR="00A239CA" w:rsidRPr="00DF6CA0">
        <w:rPr>
          <w:lang w:val="en-GB"/>
        </w:rPr>
        <w:t>filled</w:t>
      </w:r>
      <w:r w:rsidR="00375B92" w:rsidRPr="00DF6CA0">
        <w:rPr>
          <w:lang w:val="en-GB"/>
        </w:rPr>
        <w:t xml:space="preserve"> </w:t>
      </w:r>
      <w:r w:rsidR="00D63DBA" w:rsidRPr="00DF6CA0">
        <w:rPr>
          <w:lang w:val="en-GB"/>
        </w:rPr>
        <w:t xml:space="preserve">in </w:t>
      </w:r>
      <w:r w:rsidR="00A239CA" w:rsidRPr="00DF6CA0">
        <w:rPr>
          <w:lang w:val="en-GB"/>
        </w:rPr>
        <w:t>by</w:t>
      </w:r>
      <w:r w:rsidR="00375B92" w:rsidRPr="00DF6CA0">
        <w:rPr>
          <w:lang w:val="en-GB"/>
        </w:rPr>
        <w:t xml:space="preserve"> the reporting entities:</w:t>
      </w:r>
    </w:p>
    <w:tbl>
      <w:tblPr>
        <w:tblW w:w="90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3281"/>
        <w:gridCol w:w="2693"/>
        <w:gridCol w:w="2693"/>
      </w:tblGrid>
      <w:tr w:rsidR="00D63DBA" w:rsidRPr="00DF6CA0" w:rsidTr="00D63DBA">
        <w:trPr>
          <w:trHeight w:val="31"/>
        </w:trPr>
        <w:tc>
          <w:tcPr>
            <w:tcW w:w="420" w:type="dxa"/>
            <w:shd w:val="clear" w:color="auto" w:fill="24406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b/>
                <w:bCs/>
                <w:sz w:val="18"/>
                <w:szCs w:val="18"/>
                <w:lang w:val="en-GB"/>
              </w:rPr>
              <w:t>N°</w:t>
            </w:r>
          </w:p>
        </w:tc>
        <w:tc>
          <w:tcPr>
            <w:tcW w:w="3281" w:type="dxa"/>
            <w:shd w:val="clear" w:color="auto" w:fill="24406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b/>
                <w:bCs/>
                <w:sz w:val="18"/>
                <w:szCs w:val="18"/>
                <w:lang w:val="en-GB"/>
              </w:rPr>
              <w:t xml:space="preserve">Reporting templates </w:t>
            </w:r>
          </w:p>
        </w:tc>
        <w:tc>
          <w:tcPr>
            <w:tcW w:w="2693" w:type="dxa"/>
            <w:shd w:val="clear" w:color="auto" w:fill="24406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b/>
                <w:bCs/>
                <w:sz w:val="18"/>
                <w:szCs w:val="18"/>
                <w:lang w:val="en-GB"/>
              </w:rPr>
              <w:t>Extractive companies</w:t>
            </w:r>
          </w:p>
        </w:tc>
        <w:tc>
          <w:tcPr>
            <w:tcW w:w="2693" w:type="dxa"/>
            <w:shd w:val="clear" w:color="auto" w:fill="24406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b/>
                <w:bCs/>
                <w:sz w:val="18"/>
                <w:szCs w:val="18"/>
                <w:lang w:val="en-GB"/>
              </w:rPr>
              <w:t>Government Agencies</w:t>
            </w:r>
          </w:p>
        </w:tc>
      </w:tr>
      <w:tr w:rsidR="00D63DBA" w:rsidRPr="00DF6CA0" w:rsidTr="00D63DBA">
        <w:trPr>
          <w:trHeight w:val="41"/>
        </w:trPr>
        <w:tc>
          <w:tcPr>
            <w:tcW w:w="420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281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Data Sheet</w:t>
            </w:r>
          </w:p>
        </w:tc>
        <w:tc>
          <w:tcPr>
            <w:tcW w:w="2693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N/A</w:t>
            </w:r>
          </w:p>
        </w:tc>
      </w:tr>
      <w:tr w:rsidR="00D63DBA" w:rsidRPr="00DF6CA0" w:rsidTr="00D63DBA">
        <w:trPr>
          <w:trHeight w:val="41"/>
        </w:trPr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Payment/Receipt Report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</w:tr>
      <w:tr w:rsidR="00D63DBA" w:rsidRPr="00DF6CA0" w:rsidTr="00D63DBA">
        <w:trPr>
          <w:trHeight w:val="65"/>
        </w:trPr>
        <w:tc>
          <w:tcPr>
            <w:tcW w:w="420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281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Payments Flow Detail</w:t>
            </w:r>
          </w:p>
        </w:tc>
        <w:tc>
          <w:tcPr>
            <w:tcW w:w="2693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</w:tr>
      <w:tr w:rsidR="00D63DBA" w:rsidRPr="00DF6CA0" w:rsidTr="00D63DBA">
        <w:trPr>
          <w:trHeight w:val="156"/>
        </w:trPr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Social Payments Detail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pct50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N/A</w:t>
            </w:r>
          </w:p>
        </w:tc>
      </w:tr>
      <w:tr w:rsidR="00D63DBA" w:rsidRPr="00DF6CA0" w:rsidTr="00D63DBA">
        <w:trPr>
          <w:trHeight w:val="107"/>
        </w:trPr>
        <w:tc>
          <w:tcPr>
            <w:tcW w:w="420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281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Production Detail</w:t>
            </w:r>
          </w:p>
        </w:tc>
        <w:tc>
          <w:tcPr>
            <w:tcW w:w="2693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MLME</w:t>
            </w:r>
          </w:p>
        </w:tc>
      </w:tr>
      <w:tr w:rsidR="00D63DBA" w:rsidRPr="00DF6CA0" w:rsidTr="00D63DBA">
        <w:trPr>
          <w:trHeight w:val="41"/>
        </w:trPr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3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ind w:left="147"/>
              <w:jc w:val="both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Exportation Detail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ALL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63DBA" w:rsidRPr="00DF6CA0" w:rsidRDefault="00D63DBA" w:rsidP="00D63DBA">
            <w:pPr>
              <w:spacing w:before="60" w:after="60"/>
              <w:jc w:val="center"/>
              <w:rPr>
                <w:sz w:val="18"/>
                <w:szCs w:val="18"/>
                <w:lang w:val="en-GB"/>
              </w:rPr>
            </w:pPr>
            <w:r w:rsidRPr="00DF6CA0">
              <w:rPr>
                <w:sz w:val="18"/>
                <w:szCs w:val="18"/>
                <w:lang w:val="en-GB"/>
              </w:rPr>
              <w:t>LRA (Customs)</w:t>
            </w:r>
          </w:p>
        </w:tc>
      </w:tr>
    </w:tbl>
    <w:p w:rsidR="00D63DBA" w:rsidRPr="00DF6CA0" w:rsidRDefault="00D63DBA" w:rsidP="005158A0">
      <w:pPr>
        <w:spacing w:after="120"/>
        <w:jc w:val="both"/>
        <w:rPr>
          <w:lang w:val="en-GB"/>
        </w:rPr>
      </w:pPr>
    </w:p>
    <w:p w:rsidR="000819E8" w:rsidRPr="00DF6CA0" w:rsidRDefault="005158A0" w:rsidP="00B04658">
      <w:pPr>
        <w:pStyle w:val="Heading2"/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 xml:space="preserve">Reporting </w:t>
      </w:r>
      <w:r w:rsidR="00EA1805" w:rsidRPr="00DF6CA0">
        <w:rPr>
          <w:color w:val="0070C0"/>
        </w:rPr>
        <w:t>Templates</w:t>
      </w:r>
    </w:p>
    <w:p w:rsidR="00E248B5" w:rsidRPr="00DF6CA0" w:rsidRDefault="000E5965" w:rsidP="00032D16">
      <w:pPr>
        <w:spacing w:after="240"/>
        <w:jc w:val="both"/>
        <w:rPr>
          <w:b/>
          <w:sz w:val="22"/>
          <w:szCs w:val="22"/>
          <w:u w:val="single"/>
          <w:lang w:val="en-GB"/>
        </w:rPr>
      </w:pPr>
      <w:r w:rsidRPr="00DF6CA0">
        <w:rPr>
          <w:b/>
          <w:sz w:val="22"/>
          <w:szCs w:val="22"/>
          <w:lang w:val="en-GB"/>
        </w:rPr>
        <w:t>3.1.1</w:t>
      </w:r>
      <w:r w:rsidR="00032D16" w:rsidRPr="00DF6CA0">
        <w:rPr>
          <w:b/>
          <w:sz w:val="22"/>
          <w:szCs w:val="22"/>
          <w:lang w:val="en-GB"/>
        </w:rPr>
        <w:tab/>
      </w:r>
      <w:r w:rsidR="00D728EE" w:rsidRPr="00DF6CA0">
        <w:rPr>
          <w:b/>
          <w:sz w:val="22"/>
          <w:szCs w:val="22"/>
          <w:u w:val="single"/>
          <w:lang w:val="en-GB"/>
        </w:rPr>
        <w:t>Extractive</w:t>
      </w:r>
      <w:r w:rsidR="00E248B5" w:rsidRPr="00DF6CA0">
        <w:rPr>
          <w:b/>
          <w:sz w:val="22"/>
          <w:szCs w:val="22"/>
          <w:u w:val="single"/>
          <w:lang w:val="en-GB"/>
        </w:rPr>
        <w:t xml:space="preserve"> Companies</w:t>
      </w:r>
    </w:p>
    <w:p w:rsidR="004C4319" w:rsidRPr="00DF6CA0" w:rsidRDefault="005C39AC" w:rsidP="00032D16">
      <w:pPr>
        <w:spacing w:after="240"/>
        <w:jc w:val="both"/>
        <w:rPr>
          <w:lang w:val="en-GB"/>
        </w:rPr>
      </w:pPr>
      <w:r w:rsidRPr="00DF6CA0">
        <w:rPr>
          <w:lang w:val="en-GB"/>
        </w:rPr>
        <w:t>In the case of group</w:t>
      </w:r>
      <w:r w:rsidR="00B14F6A" w:rsidRPr="00DF6CA0">
        <w:rPr>
          <w:lang w:val="en-GB"/>
        </w:rPr>
        <w:t xml:space="preserve"> of companies or affiliates, </w:t>
      </w:r>
      <w:r w:rsidR="00E248B5" w:rsidRPr="00DF6CA0">
        <w:rPr>
          <w:lang w:val="en-GB"/>
        </w:rPr>
        <w:t xml:space="preserve">the </w:t>
      </w:r>
      <w:r w:rsidR="00B14F6A" w:rsidRPr="00DF6CA0">
        <w:rPr>
          <w:lang w:val="en-GB"/>
        </w:rPr>
        <w:t>template</w:t>
      </w:r>
      <w:r w:rsidR="00E248B5" w:rsidRPr="00DF6CA0">
        <w:rPr>
          <w:lang w:val="en-GB"/>
        </w:rPr>
        <w:t>s</w:t>
      </w:r>
      <w:r w:rsidR="00B14F6A" w:rsidRPr="00DF6CA0">
        <w:rPr>
          <w:lang w:val="en-GB"/>
        </w:rPr>
        <w:t xml:space="preserve"> </w:t>
      </w:r>
      <w:r w:rsidR="00E248B5" w:rsidRPr="00DF6CA0">
        <w:rPr>
          <w:lang w:val="en-GB"/>
        </w:rPr>
        <w:t>are</w:t>
      </w:r>
      <w:r w:rsidR="007F1544" w:rsidRPr="00DF6CA0">
        <w:rPr>
          <w:lang w:val="en-GB"/>
        </w:rPr>
        <w:t xml:space="preserve"> requested</w:t>
      </w:r>
      <w:r w:rsidR="00B14F6A" w:rsidRPr="00DF6CA0">
        <w:rPr>
          <w:lang w:val="en-GB"/>
        </w:rPr>
        <w:t xml:space="preserve"> to be prepared by each registered </w:t>
      </w:r>
      <w:r w:rsidRPr="00DF6CA0">
        <w:rPr>
          <w:lang w:val="en-GB"/>
        </w:rPr>
        <w:t>extractive</w:t>
      </w:r>
      <w:r w:rsidR="003A265D" w:rsidRPr="00DF6CA0">
        <w:rPr>
          <w:lang w:val="en-GB"/>
        </w:rPr>
        <w:t xml:space="preserve"> company</w:t>
      </w:r>
      <w:r w:rsidR="00EA4B57" w:rsidRPr="00DF6CA0">
        <w:rPr>
          <w:lang w:val="en-GB"/>
        </w:rPr>
        <w:t xml:space="preserve"> (i.e. for each separate TIN)</w:t>
      </w:r>
      <w:r w:rsidR="00791559" w:rsidRPr="00DF6CA0">
        <w:rPr>
          <w:lang w:val="en-GB"/>
        </w:rPr>
        <w:t>.</w:t>
      </w:r>
    </w:p>
    <w:p w:rsidR="00995302" w:rsidRPr="00DF6CA0" w:rsidRDefault="00A0407B" w:rsidP="00032D16">
      <w:pPr>
        <w:spacing w:after="240"/>
        <w:jc w:val="both"/>
        <w:rPr>
          <w:lang w:val="en-GB"/>
        </w:rPr>
      </w:pPr>
      <w:hyperlink r:id="rId10" w:history="1">
        <w:hyperlink r:id="rId11" w:history="1">
          <w:r w:rsidR="00E248B5" w:rsidRPr="00DF6CA0">
            <w:rPr>
              <w:lang w:val="en-GB" w:eastAsia="fr-FR"/>
            </w:rPr>
            <w:t xml:space="preserve">Payment/Receipt </w:t>
          </w:r>
          <w:r w:rsidR="00B04658" w:rsidRPr="00DF6CA0">
            <w:rPr>
              <w:lang w:val="en-GB" w:eastAsia="fr-FR"/>
            </w:rPr>
            <w:t>Report</w:t>
          </w:r>
        </w:hyperlink>
      </w:hyperlink>
      <w:r w:rsidR="004C4319" w:rsidRPr="00DF6CA0">
        <w:rPr>
          <w:lang w:val="en-GB"/>
        </w:rPr>
        <w:t xml:space="preserve"> </w:t>
      </w:r>
      <w:r w:rsidR="001D1CA2" w:rsidRPr="00DF6CA0">
        <w:rPr>
          <w:lang w:val="en-GB"/>
        </w:rPr>
        <w:t>should</w:t>
      </w:r>
      <w:r w:rsidR="004C4319" w:rsidRPr="00DF6CA0">
        <w:rPr>
          <w:lang w:val="en-GB"/>
        </w:rPr>
        <w:t xml:space="preserve"> </w:t>
      </w:r>
      <w:r w:rsidR="00EA4B57" w:rsidRPr="00DF6CA0">
        <w:rPr>
          <w:lang w:val="en-GB"/>
        </w:rPr>
        <w:t>not include</w:t>
      </w:r>
      <w:r w:rsidR="004C4319" w:rsidRPr="00DF6CA0">
        <w:rPr>
          <w:lang w:val="en-GB"/>
        </w:rPr>
        <w:t xml:space="preserve"> </w:t>
      </w:r>
      <w:r w:rsidR="00B04658" w:rsidRPr="00DF6CA0">
        <w:rPr>
          <w:lang w:val="en-GB"/>
        </w:rPr>
        <w:t xml:space="preserve">only </w:t>
      </w:r>
      <w:r w:rsidR="004C4319" w:rsidRPr="00DF6CA0">
        <w:rPr>
          <w:lang w:val="en-GB"/>
        </w:rPr>
        <w:t xml:space="preserve">data on amounts paid by a company </w:t>
      </w:r>
      <w:r w:rsidR="00EA4B57" w:rsidRPr="00DF6CA0">
        <w:rPr>
          <w:lang w:val="en-GB"/>
        </w:rPr>
        <w:t>but also</w:t>
      </w:r>
      <w:r w:rsidR="004C4319" w:rsidRPr="00DF6CA0">
        <w:rPr>
          <w:lang w:val="en-GB"/>
        </w:rPr>
        <w:t xml:space="preserve"> </w:t>
      </w:r>
      <w:r w:rsidR="00B04658" w:rsidRPr="00DF6CA0">
        <w:rPr>
          <w:lang w:val="en-GB"/>
        </w:rPr>
        <w:t xml:space="preserve">must </w:t>
      </w:r>
      <w:r w:rsidR="004C4319" w:rsidRPr="00DF6CA0">
        <w:rPr>
          <w:lang w:val="en-GB"/>
        </w:rPr>
        <w:t xml:space="preserve">include payments </w:t>
      </w:r>
      <w:r w:rsidR="004C4319" w:rsidRPr="00DF6CA0">
        <w:rPr>
          <w:u w:val="single"/>
          <w:lang w:val="en-GB"/>
        </w:rPr>
        <w:t>made on its behalf</w:t>
      </w:r>
      <w:r w:rsidR="00B04658" w:rsidRPr="00DF6CA0">
        <w:rPr>
          <w:lang w:val="en-GB"/>
        </w:rPr>
        <w:t xml:space="preserve"> by </w:t>
      </w:r>
      <w:r w:rsidR="004C4319" w:rsidRPr="00DF6CA0">
        <w:rPr>
          <w:lang w:val="en-GB"/>
        </w:rPr>
        <w:t xml:space="preserve">other </w:t>
      </w:r>
      <w:r w:rsidR="00791559" w:rsidRPr="00DF6CA0">
        <w:rPr>
          <w:lang w:val="en-GB"/>
        </w:rPr>
        <w:t xml:space="preserve">entities or third parties </w:t>
      </w:r>
      <w:r w:rsidR="00EA4B57" w:rsidRPr="00DF6CA0">
        <w:rPr>
          <w:lang w:val="en-GB"/>
        </w:rPr>
        <w:t>(</w:t>
      </w:r>
      <w:r w:rsidR="00791559" w:rsidRPr="00DF6CA0">
        <w:rPr>
          <w:lang w:val="en-GB"/>
        </w:rPr>
        <w:t>clearing agents)</w:t>
      </w:r>
      <w:r w:rsidR="00671F23" w:rsidRPr="00DF6CA0">
        <w:rPr>
          <w:lang w:val="en-GB"/>
        </w:rPr>
        <w:t xml:space="preserve">. </w:t>
      </w:r>
      <w:r w:rsidR="005C39AC" w:rsidRPr="00DF6CA0">
        <w:rPr>
          <w:lang w:val="en-GB"/>
        </w:rPr>
        <w:br w:type="page"/>
      </w:r>
    </w:p>
    <w:p w:rsidR="00B04658" w:rsidRPr="00DF6CA0" w:rsidRDefault="00B04658" w:rsidP="00032D16">
      <w:pPr>
        <w:jc w:val="both"/>
        <w:rPr>
          <w:lang w:val="en-GB"/>
        </w:rPr>
      </w:pPr>
    </w:p>
    <w:p w:rsidR="00244B76" w:rsidRPr="00DF6CA0" w:rsidRDefault="000E5965" w:rsidP="00032D16">
      <w:pPr>
        <w:spacing w:after="240"/>
        <w:jc w:val="both"/>
        <w:rPr>
          <w:b/>
          <w:sz w:val="22"/>
          <w:szCs w:val="22"/>
          <w:lang w:val="en-GB"/>
        </w:rPr>
      </w:pPr>
      <w:r w:rsidRPr="00DF6CA0">
        <w:rPr>
          <w:b/>
          <w:sz w:val="22"/>
          <w:szCs w:val="22"/>
          <w:lang w:val="en-GB"/>
        </w:rPr>
        <w:t xml:space="preserve">3.1.2 </w:t>
      </w:r>
      <w:r w:rsidR="006414AC" w:rsidRPr="00DF6CA0">
        <w:rPr>
          <w:b/>
          <w:sz w:val="22"/>
          <w:szCs w:val="22"/>
          <w:u w:val="single"/>
          <w:lang w:val="en-GB"/>
        </w:rPr>
        <w:t>Government</w:t>
      </w:r>
      <w:r w:rsidR="00244B76" w:rsidRPr="00DF6CA0">
        <w:rPr>
          <w:b/>
          <w:sz w:val="22"/>
          <w:szCs w:val="22"/>
          <w:u w:val="single"/>
          <w:lang w:val="en-GB"/>
        </w:rPr>
        <w:t xml:space="preserve"> Agencies</w:t>
      </w:r>
    </w:p>
    <w:p w:rsidR="000E5965" w:rsidRPr="00DF6CA0" w:rsidRDefault="00FF00E9" w:rsidP="00CC1F28">
      <w:pPr>
        <w:spacing w:after="240"/>
        <w:jc w:val="both"/>
        <w:rPr>
          <w:rFonts w:cs="Times New Roman"/>
          <w:lang w:val="en-GB"/>
        </w:rPr>
      </w:pPr>
      <w:r w:rsidRPr="00DF6CA0">
        <w:rPr>
          <w:rFonts w:cs="Times New Roman"/>
          <w:lang w:val="en-GB"/>
        </w:rPr>
        <w:t xml:space="preserve">A separate </w:t>
      </w:r>
      <w:r w:rsidR="000223B1" w:rsidRPr="00DF6CA0">
        <w:rPr>
          <w:rFonts w:cs="Times New Roman"/>
          <w:lang w:val="en-GB"/>
        </w:rPr>
        <w:t>R</w:t>
      </w:r>
      <w:r w:rsidR="007F1544" w:rsidRPr="00DF6CA0">
        <w:rPr>
          <w:rFonts w:cs="Times New Roman"/>
          <w:lang w:val="en-GB"/>
        </w:rPr>
        <w:t>eporting Template</w:t>
      </w:r>
      <w:r w:rsidR="00671F23" w:rsidRPr="00DF6CA0">
        <w:rPr>
          <w:rFonts w:cs="Times New Roman"/>
          <w:lang w:val="en-GB"/>
        </w:rPr>
        <w:t xml:space="preserve"> should be submitted in respect of each of the </w:t>
      </w:r>
      <w:r w:rsidR="00032D16" w:rsidRPr="00DF6CA0">
        <w:rPr>
          <w:rFonts w:cs="Times New Roman"/>
          <w:lang w:val="en-GB"/>
        </w:rPr>
        <w:t>extractive</w:t>
      </w:r>
      <w:r w:rsidR="003A265D" w:rsidRPr="00DF6CA0">
        <w:rPr>
          <w:rFonts w:cs="Times New Roman"/>
          <w:lang w:val="en-GB"/>
        </w:rPr>
        <w:t xml:space="preserve"> </w:t>
      </w:r>
      <w:r w:rsidR="00F640FA" w:rsidRPr="00DF6CA0">
        <w:rPr>
          <w:rFonts w:cs="Times New Roman"/>
          <w:lang w:val="en-GB"/>
        </w:rPr>
        <w:t xml:space="preserve">company </w:t>
      </w:r>
      <w:r w:rsidR="00E61628" w:rsidRPr="00DF6CA0">
        <w:rPr>
          <w:rFonts w:cs="Times New Roman"/>
          <w:lang w:val="en-GB"/>
        </w:rPr>
        <w:t xml:space="preserve">included in the reconciliation scope and </w:t>
      </w:r>
      <w:r w:rsidR="00D416DA" w:rsidRPr="00DF6CA0">
        <w:rPr>
          <w:rFonts w:cs="Times New Roman"/>
          <w:lang w:val="en-GB"/>
        </w:rPr>
        <w:t xml:space="preserve">listed in </w:t>
      </w:r>
      <w:r w:rsidR="00032D16" w:rsidRPr="00DF6CA0">
        <w:rPr>
          <w:rFonts w:cs="Times New Roman"/>
          <w:lang w:val="en-GB"/>
        </w:rPr>
        <w:t>Annex</w:t>
      </w:r>
      <w:r w:rsidR="00D416DA" w:rsidRPr="00DF6CA0">
        <w:rPr>
          <w:rFonts w:cs="Times New Roman"/>
          <w:lang w:val="en-GB"/>
        </w:rPr>
        <w:t xml:space="preserve"> </w:t>
      </w:r>
      <w:r w:rsidR="00032D16" w:rsidRPr="00DF6CA0">
        <w:rPr>
          <w:rFonts w:cs="Times New Roman"/>
          <w:lang w:val="en-GB"/>
        </w:rPr>
        <w:t>1</w:t>
      </w:r>
      <w:r w:rsidR="00671F23" w:rsidRPr="00DF6CA0">
        <w:rPr>
          <w:rFonts w:cs="Times New Roman"/>
          <w:lang w:val="en-GB"/>
        </w:rPr>
        <w:t xml:space="preserve">. </w:t>
      </w:r>
      <w:r w:rsidR="002A5F4E" w:rsidRPr="00DF6CA0">
        <w:rPr>
          <w:rFonts w:cs="Times New Roman"/>
          <w:lang w:val="en-GB"/>
        </w:rPr>
        <w:t xml:space="preserve">As a result the Government agency will provide as such </w:t>
      </w:r>
      <w:r w:rsidR="000223B1" w:rsidRPr="00DF6CA0">
        <w:rPr>
          <w:rFonts w:cs="Times New Roman"/>
          <w:lang w:val="en-GB"/>
        </w:rPr>
        <w:t>Reporting Templates</w:t>
      </w:r>
      <w:r w:rsidR="002A5F4E" w:rsidRPr="00DF6CA0">
        <w:rPr>
          <w:rFonts w:cs="Times New Roman"/>
          <w:lang w:val="en-GB"/>
        </w:rPr>
        <w:t xml:space="preserve"> as </w:t>
      </w:r>
      <w:r w:rsidR="00032D16" w:rsidRPr="00DF6CA0">
        <w:rPr>
          <w:rFonts w:cs="Times New Roman"/>
          <w:lang w:val="en-GB"/>
        </w:rPr>
        <w:t>extractive</w:t>
      </w:r>
      <w:r w:rsidR="002A5F4E" w:rsidRPr="00DF6CA0">
        <w:rPr>
          <w:rFonts w:cs="Times New Roman"/>
          <w:lang w:val="en-GB"/>
        </w:rPr>
        <w:t xml:space="preserve"> companies.</w:t>
      </w:r>
    </w:p>
    <w:p w:rsidR="00E61628" w:rsidRPr="00DF6CA0" w:rsidRDefault="000E5965" w:rsidP="001D1CA2">
      <w:pPr>
        <w:pStyle w:val="Heading2"/>
        <w:numPr>
          <w:ilvl w:val="0"/>
          <w:numId w:val="0"/>
        </w:numPr>
        <w:shd w:val="clear" w:color="auto" w:fill="auto"/>
        <w:ind w:left="432" w:hanging="432"/>
        <w:rPr>
          <w:bCs w:val="0"/>
          <w:iCs w:val="0"/>
          <w:sz w:val="22"/>
          <w:szCs w:val="22"/>
          <w:lang w:bidi="ar-SA"/>
        </w:rPr>
      </w:pPr>
      <w:r w:rsidRPr="00DF6CA0">
        <w:rPr>
          <w:bCs w:val="0"/>
          <w:iCs w:val="0"/>
          <w:sz w:val="22"/>
          <w:szCs w:val="22"/>
          <w:lang w:bidi="ar-SA"/>
        </w:rPr>
        <w:t xml:space="preserve">3.1.3 </w:t>
      </w:r>
      <w:r w:rsidR="00032D16" w:rsidRPr="00DF6CA0">
        <w:rPr>
          <w:bCs w:val="0"/>
          <w:iCs w:val="0"/>
          <w:sz w:val="22"/>
          <w:szCs w:val="22"/>
          <w:u w:val="single"/>
          <w:lang w:bidi="ar-SA"/>
        </w:rPr>
        <w:t>NOCAL</w:t>
      </w:r>
    </w:p>
    <w:p w:rsidR="00E61628" w:rsidRPr="00DF6CA0" w:rsidRDefault="00032D16" w:rsidP="00E051B3">
      <w:pPr>
        <w:spacing w:after="240"/>
        <w:rPr>
          <w:rFonts w:cs="Times New Roman"/>
          <w:bCs/>
          <w:szCs w:val="24"/>
          <w:lang w:val="en-GB" w:bidi="ar-TN"/>
        </w:rPr>
      </w:pPr>
      <w:r w:rsidRPr="00DF6CA0">
        <w:rPr>
          <w:rFonts w:cs="Times New Roman"/>
          <w:bCs/>
          <w:szCs w:val="24"/>
          <w:lang w:val="en-GB" w:bidi="ar-TN"/>
        </w:rPr>
        <w:t>NOCAL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 should submit two types of template</w:t>
      </w:r>
      <w:r w:rsidRPr="00DF6CA0">
        <w:rPr>
          <w:rFonts w:cs="Times New Roman"/>
          <w:bCs/>
          <w:szCs w:val="24"/>
          <w:lang w:val="en-GB" w:bidi="ar-TN"/>
        </w:rPr>
        <w:t>s</w:t>
      </w:r>
    </w:p>
    <w:p w:rsidR="00E61628" w:rsidRPr="00DF6CA0" w:rsidRDefault="00E61628" w:rsidP="00E051B3">
      <w:pPr>
        <w:numPr>
          <w:ilvl w:val="0"/>
          <w:numId w:val="26"/>
        </w:numPr>
        <w:spacing w:after="240"/>
        <w:ind w:left="357" w:hanging="357"/>
        <w:jc w:val="both"/>
        <w:rPr>
          <w:rFonts w:cs="Times New Roman"/>
          <w:bCs/>
          <w:szCs w:val="24"/>
          <w:lang w:val="en-GB" w:bidi="ar-TN"/>
        </w:rPr>
      </w:pPr>
      <w:r w:rsidRPr="00DF6CA0">
        <w:rPr>
          <w:rFonts w:cs="Times New Roman"/>
          <w:bCs/>
          <w:szCs w:val="24"/>
          <w:lang w:val="en-GB" w:bidi="ar-TN"/>
        </w:rPr>
        <w:t>The first</w:t>
      </w:r>
      <w:r w:rsidR="00A35E91" w:rsidRPr="00DF6CA0">
        <w:rPr>
          <w:rFonts w:cs="Times New Roman"/>
          <w:bCs/>
          <w:szCs w:val="24"/>
          <w:lang w:val="en-GB" w:bidi="ar-TN"/>
        </w:rPr>
        <w:t xml:space="preserve"> type</w:t>
      </w:r>
      <w:r w:rsidRPr="00DF6CA0">
        <w:rPr>
          <w:rFonts w:cs="Times New Roman"/>
          <w:bCs/>
          <w:szCs w:val="24"/>
          <w:lang w:val="en-GB" w:bidi="ar-TN"/>
        </w:rPr>
        <w:t xml:space="preserve"> for payments made to </w:t>
      </w:r>
      <w:r w:rsidR="00A35E91" w:rsidRPr="00DF6CA0">
        <w:rPr>
          <w:rFonts w:cs="Times New Roman"/>
          <w:bCs/>
          <w:szCs w:val="24"/>
          <w:lang w:val="en-GB" w:bidi="ar-TN"/>
        </w:rPr>
        <w:t>Government Agencies</w:t>
      </w:r>
      <w:r w:rsidRPr="00DF6CA0">
        <w:rPr>
          <w:rFonts w:cs="Times New Roman"/>
          <w:bCs/>
          <w:szCs w:val="24"/>
          <w:lang w:val="en-GB" w:bidi="ar-TN"/>
        </w:rPr>
        <w:t xml:space="preserve">. </w:t>
      </w:r>
      <w:r w:rsidR="00A35E91" w:rsidRPr="00DF6CA0">
        <w:rPr>
          <w:rFonts w:cs="Times New Roman"/>
          <w:bCs/>
          <w:szCs w:val="24"/>
          <w:lang w:val="en-GB" w:bidi="ar-TN"/>
        </w:rPr>
        <w:t>NOCAL</w:t>
      </w:r>
      <w:r w:rsidRPr="00DF6CA0">
        <w:rPr>
          <w:rFonts w:cs="Times New Roman"/>
          <w:bCs/>
          <w:szCs w:val="24"/>
          <w:lang w:val="en-GB" w:bidi="ar-TN"/>
        </w:rPr>
        <w:t xml:space="preserve"> will have to report all payments and transfers made to </w:t>
      </w:r>
      <w:r w:rsidR="00A35E91" w:rsidRPr="00DF6CA0">
        <w:rPr>
          <w:rFonts w:cs="Times New Roman"/>
          <w:bCs/>
          <w:szCs w:val="24"/>
          <w:lang w:val="en-GB" w:bidi="ar-TN"/>
        </w:rPr>
        <w:t>Government Agencies (One template).</w:t>
      </w:r>
    </w:p>
    <w:p w:rsidR="000E5965" w:rsidRPr="00DF6CA0" w:rsidRDefault="00A35E91" w:rsidP="00E051B3">
      <w:pPr>
        <w:numPr>
          <w:ilvl w:val="0"/>
          <w:numId w:val="26"/>
        </w:numPr>
        <w:spacing w:after="240"/>
        <w:ind w:left="357" w:hanging="357"/>
        <w:jc w:val="both"/>
        <w:rPr>
          <w:rFonts w:cs="Times New Roman"/>
          <w:bCs/>
          <w:szCs w:val="24"/>
          <w:lang w:val="en-GB" w:bidi="ar-TN"/>
        </w:rPr>
      </w:pPr>
      <w:r w:rsidRPr="00DF6CA0">
        <w:rPr>
          <w:rFonts w:cs="Times New Roman"/>
          <w:bCs/>
          <w:szCs w:val="24"/>
          <w:lang w:val="en-GB" w:bidi="ar-TN"/>
        </w:rPr>
        <w:t>The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 second </w:t>
      </w:r>
      <w:r w:rsidRPr="00DF6CA0">
        <w:rPr>
          <w:rFonts w:cs="Times New Roman"/>
          <w:bCs/>
          <w:szCs w:val="24"/>
          <w:lang w:val="en-GB" w:bidi="ar-TN"/>
        </w:rPr>
        <w:t xml:space="preserve">type 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for </w:t>
      </w:r>
      <w:r w:rsidR="00CC1F28" w:rsidRPr="00DF6CA0">
        <w:rPr>
          <w:rFonts w:cs="Times New Roman"/>
          <w:bCs/>
          <w:szCs w:val="24"/>
          <w:lang w:val="en-GB" w:bidi="ar-TN"/>
        </w:rPr>
        <w:t xml:space="preserve">payments received from </w:t>
      </w:r>
      <w:r w:rsidRPr="00DF6CA0">
        <w:rPr>
          <w:rFonts w:cs="Times New Roman"/>
          <w:bCs/>
          <w:szCs w:val="24"/>
          <w:lang w:val="en-GB" w:bidi="ar-TN"/>
        </w:rPr>
        <w:t xml:space="preserve">Oil &amp; Gas 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companies. </w:t>
      </w:r>
      <w:r w:rsidRPr="00DF6CA0">
        <w:rPr>
          <w:rFonts w:cs="Times New Roman"/>
          <w:bCs/>
          <w:szCs w:val="24"/>
          <w:lang w:val="en-GB" w:bidi="ar-TN"/>
        </w:rPr>
        <w:t xml:space="preserve">NOCAL </w:t>
      </w:r>
      <w:r w:rsidR="00CC1F28" w:rsidRPr="00DF6CA0">
        <w:rPr>
          <w:rFonts w:cs="Times New Roman"/>
          <w:bCs/>
          <w:szCs w:val="24"/>
          <w:lang w:val="en-GB" w:bidi="ar-TN"/>
        </w:rPr>
        <w:t>will have the status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 of</w:t>
      </w:r>
      <w:r w:rsidR="00CC1F28" w:rsidRPr="00DF6CA0">
        <w:rPr>
          <w:rFonts w:cs="Times New Roman"/>
          <w:bCs/>
          <w:szCs w:val="24"/>
          <w:lang w:val="en-GB" w:bidi="ar-TN"/>
        </w:rPr>
        <w:t xml:space="preserve"> state owned company and </w:t>
      </w:r>
      <w:r w:rsidR="00E61628" w:rsidRPr="00DF6CA0">
        <w:rPr>
          <w:rFonts w:cs="Times New Roman"/>
          <w:bCs/>
          <w:szCs w:val="24"/>
          <w:lang w:val="en-GB" w:bidi="ar-TN"/>
        </w:rPr>
        <w:t xml:space="preserve">should submit separate template for each </w:t>
      </w:r>
      <w:r w:rsidRPr="00DF6CA0">
        <w:rPr>
          <w:rFonts w:cs="Times New Roman"/>
          <w:bCs/>
          <w:szCs w:val="24"/>
          <w:lang w:val="en-GB" w:bidi="ar-TN"/>
        </w:rPr>
        <w:t>Oil &amp; Gas</w:t>
      </w:r>
      <w:r w:rsidR="00CC1F28" w:rsidRPr="00DF6CA0">
        <w:rPr>
          <w:rFonts w:cs="Times New Roman"/>
          <w:bCs/>
          <w:szCs w:val="24"/>
          <w:lang w:val="en-GB" w:bidi="ar-TN"/>
        </w:rPr>
        <w:t xml:space="preserve"> </w:t>
      </w:r>
      <w:r w:rsidR="006D5E07" w:rsidRPr="00DF6CA0">
        <w:rPr>
          <w:rFonts w:cs="Times New Roman"/>
          <w:bCs/>
          <w:szCs w:val="24"/>
          <w:lang w:val="en-GB" w:bidi="ar-TN"/>
        </w:rPr>
        <w:t>company</w:t>
      </w:r>
      <w:r w:rsidR="00CC1F28" w:rsidRPr="00DF6CA0">
        <w:rPr>
          <w:rFonts w:cs="Times New Roman"/>
          <w:bCs/>
          <w:szCs w:val="24"/>
          <w:lang w:val="en-GB" w:bidi="ar-TN"/>
        </w:rPr>
        <w:t xml:space="preserve"> </w:t>
      </w:r>
      <w:r w:rsidR="006D5E07" w:rsidRPr="00DF6CA0">
        <w:rPr>
          <w:rFonts w:cs="Times New Roman"/>
          <w:bCs/>
          <w:szCs w:val="24"/>
          <w:lang w:val="en-GB" w:bidi="ar-TN"/>
        </w:rPr>
        <w:t>(</w:t>
      </w:r>
      <w:r w:rsidR="00491E27" w:rsidRPr="00DF6CA0">
        <w:rPr>
          <w:rFonts w:cs="Times New Roman"/>
          <w:bCs/>
          <w:szCs w:val="24"/>
          <w:lang w:val="en-GB" w:bidi="ar-TN"/>
        </w:rPr>
        <w:t xml:space="preserve">listed in annex </w:t>
      </w:r>
      <w:r w:rsidRPr="00DF6CA0">
        <w:rPr>
          <w:rFonts w:cs="Times New Roman"/>
          <w:bCs/>
          <w:szCs w:val="24"/>
          <w:lang w:val="en-GB" w:bidi="ar-TN"/>
        </w:rPr>
        <w:t>1</w:t>
      </w:r>
      <w:r w:rsidR="006D5E07" w:rsidRPr="00DF6CA0">
        <w:rPr>
          <w:sz w:val="18"/>
          <w:szCs w:val="18"/>
          <w:lang w:val="en-GB"/>
        </w:rPr>
        <w:t>)</w:t>
      </w:r>
      <w:r w:rsidR="00E61628" w:rsidRPr="00DF6CA0">
        <w:rPr>
          <w:rFonts w:cs="Times New Roman"/>
          <w:bCs/>
          <w:szCs w:val="24"/>
          <w:lang w:val="en-GB" w:bidi="ar-TN"/>
        </w:rPr>
        <w:t>.</w:t>
      </w:r>
    </w:p>
    <w:p w:rsidR="000E5965" w:rsidRPr="00DF6CA0" w:rsidRDefault="000E5965" w:rsidP="00B04658">
      <w:pPr>
        <w:pStyle w:val="Heading2"/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>Supporting schedules</w:t>
      </w:r>
    </w:p>
    <w:p w:rsidR="00E40203" w:rsidRPr="00DF6CA0" w:rsidRDefault="006D5E07" w:rsidP="00E40203">
      <w:pPr>
        <w:spacing w:after="180"/>
        <w:rPr>
          <w:rFonts w:cs="Times New Roman"/>
          <w:b/>
          <w:bCs/>
          <w:szCs w:val="24"/>
          <w:u w:val="single"/>
          <w:lang w:val="en-GB" w:bidi="ar-TN"/>
        </w:rPr>
      </w:pPr>
      <w:r w:rsidRPr="00DF6CA0">
        <w:rPr>
          <w:rFonts w:cs="Times New Roman"/>
          <w:b/>
          <w:bCs/>
          <w:szCs w:val="24"/>
          <w:u w:val="single"/>
          <w:lang w:val="en-GB" w:bidi="ar-TN"/>
        </w:rPr>
        <w:t>Data</w:t>
      </w:r>
      <w:r w:rsidR="00A35E91" w:rsidRPr="00DF6CA0">
        <w:rPr>
          <w:rFonts w:cs="Times New Roman"/>
          <w:b/>
          <w:bCs/>
          <w:szCs w:val="24"/>
          <w:u w:val="single"/>
          <w:lang w:val="en-GB" w:bidi="ar-TN"/>
        </w:rPr>
        <w:t xml:space="preserve"> sheet</w:t>
      </w:r>
    </w:p>
    <w:p w:rsidR="00E40203" w:rsidRPr="00DF6CA0" w:rsidRDefault="00A35E91" w:rsidP="00EA1805">
      <w:pPr>
        <w:spacing w:after="180"/>
        <w:jc w:val="both"/>
        <w:rPr>
          <w:rFonts w:cs="Times New Roman"/>
          <w:bCs/>
          <w:szCs w:val="24"/>
          <w:lang w:val="en-GB" w:bidi="ar-TN"/>
        </w:rPr>
      </w:pPr>
      <w:r w:rsidRPr="00DF6CA0">
        <w:rPr>
          <w:rFonts w:cs="Times New Roman"/>
          <w:bCs/>
          <w:szCs w:val="24"/>
          <w:lang w:val="en-GB" w:bidi="ar-TN"/>
        </w:rPr>
        <w:t>It is a</w:t>
      </w:r>
      <w:r w:rsidR="00E40203" w:rsidRPr="00DF6CA0">
        <w:rPr>
          <w:rFonts w:cs="Times New Roman"/>
          <w:bCs/>
          <w:szCs w:val="24"/>
          <w:lang w:val="en-GB" w:bidi="ar-TN"/>
        </w:rPr>
        <w:t>n identification sheet including key information</w:t>
      </w:r>
      <w:r w:rsidRPr="00DF6CA0">
        <w:rPr>
          <w:rFonts w:cs="Times New Roman"/>
          <w:bCs/>
          <w:szCs w:val="24"/>
          <w:lang w:val="en-GB" w:bidi="ar-TN"/>
        </w:rPr>
        <w:t xml:space="preserve"> and</w:t>
      </w:r>
      <w:r w:rsidR="00E40203" w:rsidRPr="00DF6CA0">
        <w:rPr>
          <w:rFonts w:cs="Times New Roman"/>
          <w:bCs/>
          <w:szCs w:val="24"/>
          <w:lang w:val="en-GB" w:bidi="ar-TN"/>
        </w:rPr>
        <w:t xml:space="preserve"> should be filled</w:t>
      </w:r>
      <w:r w:rsidRPr="00DF6CA0">
        <w:rPr>
          <w:rFonts w:cs="Times New Roman"/>
          <w:bCs/>
          <w:szCs w:val="24"/>
          <w:lang w:val="en-GB" w:bidi="ar-TN"/>
        </w:rPr>
        <w:t xml:space="preserve"> in</w:t>
      </w:r>
      <w:r w:rsidR="00E40203" w:rsidRPr="00DF6CA0">
        <w:rPr>
          <w:rFonts w:cs="Times New Roman"/>
          <w:bCs/>
          <w:szCs w:val="24"/>
          <w:lang w:val="en-GB" w:bidi="ar-TN"/>
        </w:rPr>
        <w:t xml:space="preserve"> by each extractive</w:t>
      </w:r>
      <w:r w:rsidRPr="00DF6CA0">
        <w:rPr>
          <w:rFonts w:cs="Times New Roman"/>
          <w:bCs/>
          <w:szCs w:val="24"/>
          <w:lang w:val="en-GB" w:bidi="ar-TN"/>
        </w:rPr>
        <w:t xml:space="preserve"> company and NOCAL</w:t>
      </w:r>
      <w:r w:rsidR="00E051B3" w:rsidRPr="00DF6CA0">
        <w:rPr>
          <w:rFonts w:cs="Times New Roman"/>
          <w:bCs/>
          <w:szCs w:val="24"/>
          <w:lang w:val="en-GB" w:bidi="ar-TN"/>
        </w:rPr>
        <w:t>.</w:t>
      </w:r>
    </w:p>
    <w:p w:rsidR="007170B1" w:rsidRPr="00DF6CA0" w:rsidRDefault="008B5EB3" w:rsidP="00EA1805">
      <w:pPr>
        <w:spacing w:after="180"/>
        <w:jc w:val="both"/>
        <w:rPr>
          <w:rFonts w:cs="Times New Roman"/>
          <w:bCs/>
          <w:szCs w:val="24"/>
          <w:lang w:val="en-GB" w:bidi="ar-TN"/>
        </w:rPr>
      </w:pPr>
      <w:r w:rsidRPr="00DF6CA0">
        <w:rPr>
          <w:rFonts w:cs="Times New Roman"/>
          <w:bCs/>
          <w:szCs w:val="24"/>
          <w:lang w:val="en-GB" w:bidi="ar-TN"/>
        </w:rPr>
        <w:t>S</w:t>
      </w:r>
      <w:r w:rsidR="007170B1" w:rsidRPr="00DF6CA0">
        <w:rPr>
          <w:rFonts w:cs="Times New Roman"/>
          <w:bCs/>
          <w:szCs w:val="24"/>
          <w:lang w:val="en-GB" w:bidi="ar-TN"/>
        </w:rPr>
        <w:t>canned copy of the audited fi</w:t>
      </w:r>
      <w:r w:rsidRPr="00DF6CA0">
        <w:rPr>
          <w:rFonts w:cs="Times New Roman"/>
          <w:bCs/>
          <w:szCs w:val="24"/>
          <w:lang w:val="en-GB" w:bidi="ar-TN"/>
        </w:rPr>
        <w:t>nancial statements for the year</w:t>
      </w:r>
      <w:r w:rsidR="007170B1" w:rsidRPr="00DF6CA0">
        <w:rPr>
          <w:rFonts w:cs="Times New Roman"/>
          <w:bCs/>
          <w:szCs w:val="24"/>
          <w:lang w:val="en-GB" w:bidi="ar-TN"/>
        </w:rPr>
        <w:t xml:space="preserve"> 201</w:t>
      </w:r>
      <w:r w:rsidR="00A35E91" w:rsidRPr="00DF6CA0">
        <w:rPr>
          <w:rFonts w:cs="Times New Roman"/>
          <w:bCs/>
          <w:szCs w:val="24"/>
          <w:lang w:val="en-GB" w:bidi="ar-TN"/>
        </w:rPr>
        <w:t>3</w:t>
      </w:r>
      <w:r w:rsidR="007170B1" w:rsidRPr="00DF6CA0">
        <w:rPr>
          <w:rFonts w:cs="Times New Roman"/>
          <w:bCs/>
          <w:szCs w:val="24"/>
          <w:lang w:val="en-GB" w:bidi="ar-TN"/>
        </w:rPr>
        <w:t xml:space="preserve"> should be submitted with the reporting package.</w:t>
      </w:r>
    </w:p>
    <w:p w:rsidR="00E40203" w:rsidRPr="00DF6CA0" w:rsidRDefault="00E40203" w:rsidP="00E40203">
      <w:pPr>
        <w:spacing w:after="180"/>
        <w:rPr>
          <w:rFonts w:cs="Times New Roman"/>
          <w:b/>
          <w:u w:val="single"/>
          <w:lang w:val="en-GB" w:bidi="ar-TN"/>
        </w:rPr>
      </w:pPr>
      <w:r w:rsidRPr="00DF6CA0">
        <w:rPr>
          <w:rFonts w:cs="Times New Roman"/>
          <w:b/>
          <w:u w:val="single"/>
          <w:lang w:val="en-GB" w:bidi="ar-TN"/>
        </w:rPr>
        <w:t>Payments, contributions</w:t>
      </w:r>
      <w:r w:rsidR="00E051B3" w:rsidRPr="00DF6CA0">
        <w:rPr>
          <w:rFonts w:cs="Times New Roman"/>
          <w:b/>
          <w:u w:val="single"/>
          <w:lang w:val="en-GB" w:bidi="ar-TN"/>
        </w:rPr>
        <w:t xml:space="preserve">, </w:t>
      </w:r>
      <w:r w:rsidRPr="00DF6CA0">
        <w:rPr>
          <w:rFonts w:cs="Times New Roman"/>
          <w:b/>
          <w:u w:val="single"/>
          <w:lang w:val="en-GB" w:bidi="ar-TN"/>
        </w:rPr>
        <w:t xml:space="preserve">production </w:t>
      </w:r>
      <w:r w:rsidR="00E051B3" w:rsidRPr="00DF6CA0">
        <w:rPr>
          <w:rFonts w:cs="Times New Roman"/>
          <w:b/>
          <w:u w:val="single"/>
          <w:lang w:val="en-GB" w:bidi="ar-TN"/>
        </w:rPr>
        <w:t xml:space="preserve">and exportation </w:t>
      </w:r>
      <w:r w:rsidRPr="00DF6CA0">
        <w:rPr>
          <w:rFonts w:cs="Times New Roman"/>
          <w:b/>
          <w:u w:val="single"/>
          <w:lang w:val="en-GB" w:bidi="ar-TN"/>
        </w:rPr>
        <w:t>detail</w:t>
      </w:r>
    </w:p>
    <w:p w:rsidR="000223B1" w:rsidRPr="00DF6CA0" w:rsidRDefault="000223B1" w:rsidP="000223B1">
      <w:pPr>
        <w:spacing w:after="240"/>
        <w:jc w:val="both"/>
        <w:rPr>
          <w:lang w:val="en-GB"/>
        </w:rPr>
      </w:pPr>
      <w:r w:rsidRPr="00DF6CA0">
        <w:rPr>
          <w:lang w:val="en-GB"/>
        </w:rPr>
        <w:t>All figures reported in the “</w:t>
      </w:r>
      <w:hyperlink r:id="rId12" w:history="1">
        <w:r w:rsidRPr="00DF6CA0">
          <w:rPr>
            <w:lang w:val="en-GB"/>
          </w:rPr>
          <w:t>Payment/Receipt Report</w:t>
        </w:r>
      </w:hyperlink>
      <w:r w:rsidRPr="00DF6CA0">
        <w:rPr>
          <w:lang w:val="en-GB"/>
        </w:rPr>
        <w:t>” must be detailed payment by payment and date by date in the supporting schedule.</w:t>
      </w:r>
    </w:p>
    <w:p w:rsidR="00A21CEC" w:rsidRPr="00DF6CA0" w:rsidRDefault="008B5EB3" w:rsidP="00A21CEC">
      <w:pPr>
        <w:spacing w:after="240"/>
        <w:jc w:val="both"/>
        <w:rPr>
          <w:rFonts w:cs="Times New Roman"/>
          <w:bCs/>
          <w:szCs w:val="24"/>
          <w:lang w:val="en-GB" w:bidi="ar-TN"/>
        </w:rPr>
      </w:pPr>
      <w:r w:rsidRPr="00DF6CA0">
        <w:rPr>
          <w:lang w:val="en-GB"/>
        </w:rPr>
        <w:t>T</w:t>
      </w:r>
      <w:r w:rsidR="002A5F4E" w:rsidRPr="00DF6CA0">
        <w:rPr>
          <w:lang w:val="en-GB"/>
        </w:rPr>
        <w:t>otal</w:t>
      </w:r>
      <w:r w:rsidRPr="00DF6CA0">
        <w:rPr>
          <w:lang w:val="en-GB"/>
        </w:rPr>
        <w:t>s</w:t>
      </w:r>
      <w:r w:rsidR="002A5F4E" w:rsidRPr="00DF6CA0">
        <w:rPr>
          <w:lang w:val="en-GB"/>
        </w:rPr>
        <w:t xml:space="preserve"> </w:t>
      </w:r>
      <w:r w:rsidRPr="00DF6CA0">
        <w:rPr>
          <w:lang w:val="en-GB"/>
        </w:rPr>
        <w:t>on</w:t>
      </w:r>
      <w:r w:rsidR="002A5F4E" w:rsidRPr="00DF6CA0">
        <w:rPr>
          <w:lang w:val="en-GB"/>
        </w:rPr>
        <w:t xml:space="preserve"> the supporting schedules should </w:t>
      </w:r>
      <w:r w:rsidR="007170B1" w:rsidRPr="00DF6CA0">
        <w:rPr>
          <w:lang w:val="en-GB"/>
        </w:rPr>
        <w:t xml:space="preserve">be consistent </w:t>
      </w:r>
      <w:r w:rsidR="00A21CEC" w:rsidRPr="00DF6CA0">
        <w:rPr>
          <w:lang w:val="en-GB"/>
        </w:rPr>
        <w:t xml:space="preserve">with the </w:t>
      </w:r>
      <w:r w:rsidR="007170B1" w:rsidRPr="00DF6CA0">
        <w:rPr>
          <w:lang w:val="en-GB"/>
        </w:rPr>
        <w:t xml:space="preserve">figures </w:t>
      </w:r>
      <w:r w:rsidR="00A21CEC" w:rsidRPr="00DF6CA0">
        <w:rPr>
          <w:lang w:val="en-GB"/>
        </w:rPr>
        <w:t>reported</w:t>
      </w:r>
      <w:r w:rsidR="002A5F4E" w:rsidRPr="00DF6CA0">
        <w:rPr>
          <w:lang w:val="en-GB"/>
        </w:rPr>
        <w:t xml:space="preserve"> </w:t>
      </w:r>
      <w:r w:rsidR="00E35A8E" w:rsidRPr="00DF6CA0">
        <w:rPr>
          <w:lang w:val="en-GB"/>
        </w:rPr>
        <w:t>in</w:t>
      </w:r>
      <w:r w:rsidR="002A5F4E" w:rsidRPr="00DF6CA0">
        <w:rPr>
          <w:lang w:val="en-GB"/>
        </w:rPr>
        <w:t xml:space="preserve"> the </w:t>
      </w:r>
      <w:hyperlink r:id="rId13" w:history="1">
        <w:r w:rsidR="00E35A8E" w:rsidRPr="00DF6CA0">
          <w:rPr>
            <w:sz w:val="18"/>
            <w:szCs w:val="18"/>
            <w:lang w:val="en-GB" w:eastAsia="fr-FR"/>
          </w:rPr>
          <w:t xml:space="preserve">Payment/Receipt </w:t>
        </w:r>
        <w:r w:rsidR="00A35E91" w:rsidRPr="00DF6CA0">
          <w:rPr>
            <w:sz w:val="18"/>
            <w:szCs w:val="18"/>
            <w:lang w:val="en-GB" w:eastAsia="fr-FR"/>
          </w:rPr>
          <w:t>Report</w:t>
        </w:r>
      </w:hyperlink>
      <w:r w:rsidR="00A21CEC" w:rsidRPr="00DF6CA0">
        <w:rPr>
          <w:sz w:val="18"/>
          <w:szCs w:val="18"/>
          <w:lang w:val="en-GB" w:eastAsia="fr-FR"/>
        </w:rPr>
        <w:t xml:space="preserve"> (</w:t>
      </w:r>
      <w:r w:rsidR="000223B1" w:rsidRPr="00DF6CA0">
        <w:rPr>
          <w:rFonts w:cs="Times New Roman"/>
          <w:bCs/>
          <w:szCs w:val="24"/>
          <w:lang w:val="en-GB" w:bidi="ar-TN"/>
        </w:rPr>
        <w:t>sheet “2”).</w:t>
      </w:r>
    </w:p>
    <w:p w:rsidR="00A21CEC" w:rsidRPr="00DF6CA0" w:rsidRDefault="004D1950" w:rsidP="00A21CEC">
      <w:pPr>
        <w:spacing w:after="240"/>
        <w:jc w:val="both"/>
        <w:rPr>
          <w:lang w:val="en-GB"/>
        </w:rPr>
      </w:pPr>
      <w:r w:rsidRPr="00DF6CA0">
        <w:rPr>
          <w:lang w:val="en-GB"/>
        </w:rPr>
        <w:t>If more convenient, the</w:t>
      </w:r>
      <w:r w:rsidR="002A5F4E" w:rsidRPr="00DF6CA0">
        <w:rPr>
          <w:lang w:val="en-GB"/>
        </w:rPr>
        <w:t xml:space="preserve"> supporting schedules</w:t>
      </w:r>
      <w:r w:rsidRPr="00DF6CA0">
        <w:rPr>
          <w:lang w:val="en-GB"/>
        </w:rPr>
        <w:t xml:space="preserve"> can be prepared in another format or be in the form of computer print outs or typed lists. However, they must contain the same information</w:t>
      </w:r>
      <w:r w:rsidR="00A21CEC" w:rsidRPr="00DF6CA0">
        <w:rPr>
          <w:lang w:val="en-GB"/>
        </w:rPr>
        <w:t xml:space="preserve">. </w:t>
      </w:r>
    </w:p>
    <w:p w:rsidR="004D1950" w:rsidRPr="00DF6CA0" w:rsidRDefault="00A21CEC" w:rsidP="00A21CEC">
      <w:pPr>
        <w:spacing w:after="240"/>
        <w:jc w:val="both"/>
        <w:rPr>
          <w:lang w:val="en-GB"/>
        </w:rPr>
      </w:pPr>
      <w:r w:rsidRPr="00DF6CA0">
        <w:rPr>
          <w:lang w:val="en-GB"/>
        </w:rPr>
        <w:t>O</w:t>
      </w:r>
      <w:r w:rsidR="004D1950" w:rsidRPr="00DF6CA0">
        <w:rPr>
          <w:lang w:val="en-GB"/>
        </w:rPr>
        <w:t>ne critical piece of information that should be included is the</w:t>
      </w:r>
      <w:r w:rsidR="004403A4" w:rsidRPr="00DF6CA0">
        <w:rPr>
          <w:lang w:val="en-GB"/>
        </w:rPr>
        <w:t xml:space="preserve"> </w:t>
      </w:r>
      <w:r w:rsidR="003C6DAA" w:rsidRPr="00DF6CA0">
        <w:rPr>
          <w:u w:val="single"/>
          <w:lang w:val="en-GB"/>
        </w:rPr>
        <w:t>official</w:t>
      </w:r>
      <w:r w:rsidR="002A5F4E" w:rsidRPr="00DF6CA0">
        <w:rPr>
          <w:u w:val="single"/>
          <w:lang w:val="en-GB"/>
        </w:rPr>
        <w:t xml:space="preserve"> r</w:t>
      </w:r>
      <w:r w:rsidR="004D1950" w:rsidRPr="00DF6CA0">
        <w:rPr>
          <w:u w:val="single"/>
          <w:lang w:val="en-GB"/>
        </w:rPr>
        <w:t>eceipt number</w:t>
      </w:r>
      <w:r w:rsidR="004D1950" w:rsidRPr="00DF6CA0">
        <w:rPr>
          <w:lang w:val="en-GB"/>
        </w:rPr>
        <w:t xml:space="preserve"> as without this, it will be very difficult to trace the payment/receipt in the records of the </w:t>
      </w:r>
      <w:r w:rsidR="008B5EB3" w:rsidRPr="00DF6CA0">
        <w:rPr>
          <w:lang w:val="en-GB"/>
        </w:rPr>
        <w:t>extractive</w:t>
      </w:r>
      <w:r w:rsidR="003A265D" w:rsidRPr="00DF6CA0">
        <w:rPr>
          <w:lang w:val="en-GB"/>
        </w:rPr>
        <w:t xml:space="preserve"> company</w:t>
      </w:r>
      <w:r w:rsidR="008A68C8" w:rsidRPr="00DF6CA0">
        <w:rPr>
          <w:lang w:val="en-GB"/>
        </w:rPr>
        <w:t xml:space="preserve"> or </w:t>
      </w:r>
      <w:r w:rsidR="002A5F4E" w:rsidRPr="00DF6CA0">
        <w:rPr>
          <w:lang w:val="en-GB"/>
        </w:rPr>
        <w:t>Government</w:t>
      </w:r>
      <w:r w:rsidR="008A68C8" w:rsidRPr="00DF6CA0">
        <w:rPr>
          <w:lang w:val="en-GB"/>
        </w:rPr>
        <w:t xml:space="preserve"> </w:t>
      </w:r>
      <w:r w:rsidR="008A44FA" w:rsidRPr="00DF6CA0">
        <w:rPr>
          <w:lang w:val="en-GB"/>
        </w:rPr>
        <w:t>A</w:t>
      </w:r>
      <w:r w:rsidR="008A68C8" w:rsidRPr="00DF6CA0">
        <w:rPr>
          <w:lang w:val="en-GB"/>
        </w:rPr>
        <w:t>gency</w:t>
      </w:r>
      <w:r w:rsidR="004D1950" w:rsidRPr="00DF6CA0">
        <w:rPr>
          <w:lang w:val="en-GB"/>
        </w:rPr>
        <w:t>.</w:t>
      </w:r>
    </w:p>
    <w:p w:rsidR="008A68C8" w:rsidRPr="00DF6CA0" w:rsidRDefault="008A68C8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Copies of </w:t>
      </w:r>
      <w:r w:rsidR="003C6DAA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Official</w:t>
      </w: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 Receipts</w:t>
      </w:r>
    </w:p>
    <w:p w:rsidR="002A5F4E" w:rsidRPr="00DF6CA0" w:rsidRDefault="004D1950" w:rsidP="000E37D2">
      <w:pPr>
        <w:spacing w:after="240"/>
        <w:jc w:val="both"/>
        <w:rPr>
          <w:lang w:val="en-GB"/>
        </w:rPr>
      </w:pPr>
      <w:r w:rsidRPr="00DF6CA0">
        <w:rPr>
          <w:lang w:val="en-GB"/>
        </w:rPr>
        <w:t xml:space="preserve">As a general and important rule, the only amounts to be reported on the templates are those </w:t>
      </w:r>
      <w:r w:rsidR="008A44FA" w:rsidRPr="00DF6CA0">
        <w:rPr>
          <w:lang w:val="en-GB"/>
        </w:rPr>
        <w:t xml:space="preserve">which have actually been paid and for </w:t>
      </w:r>
      <w:r w:rsidRPr="00DF6CA0">
        <w:rPr>
          <w:lang w:val="en-GB"/>
        </w:rPr>
        <w:t>which a</w:t>
      </w:r>
      <w:r w:rsidR="003C6DAA" w:rsidRPr="00DF6CA0">
        <w:rPr>
          <w:lang w:val="en-GB"/>
        </w:rPr>
        <w:t>n</w:t>
      </w:r>
      <w:r w:rsidRPr="00DF6CA0">
        <w:rPr>
          <w:lang w:val="en-GB"/>
        </w:rPr>
        <w:t xml:space="preserve"> </w:t>
      </w:r>
      <w:r w:rsidR="003C6DAA" w:rsidRPr="00DF6CA0">
        <w:rPr>
          <w:lang w:val="en-GB"/>
        </w:rPr>
        <w:t>official</w:t>
      </w:r>
      <w:r w:rsidRPr="00DF6CA0">
        <w:rPr>
          <w:lang w:val="en-GB"/>
        </w:rPr>
        <w:t xml:space="preserve"> receipt has been issued. It is </w:t>
      </w:r>
      <w:r w:rsidR="008A44FA" w:rsidRPr="00DF6CA0">
        <w:rPr>
          <w:lang w:val="en-GB"/>
        </w:rPr>
        <w:t>expected</w:t>
      </w:r>
      <w:r w:rsidRPr="00DF6CA0">
        <w:rPr>
          <w:lang w:val="en-GB"/>
        </w:rPr>
        <w:t xml:space="preserve"> that in each case the physical</w:t>
      </w:r>
      <w:r w:rsidR="000819E8" w:rsidRPr="00DF6CA0">
        <w:rPr>
          <w:lang w:val="en-GB"/>
        </w:rPr>
        <w:t xml:space="preserve"> </w:t>
      </w:r>
      <w:r w:rsidR="003C6DAA" w:rsidRPr="00DF6CA0">
        <w:rPr>
          <w:lang w:val="en-GB"/>
        </w:rPr>
        <w:t>official</w:t>
      </w:r>
      <w:r w:rsidRPr="00DF6CA0">
        <w:rPr>
          <w:lang w:val="en-GB"/>
        </w:rPr>
        <w:t xml:space="preserve"> receipt can be </w:t>
      </w:r>
      <w:r w:rsidR="008A44FA" w:rsidRPr="00DF6CA0">
        <w:rPr>
          <w:lang w:val="en-GB"/>
        </w:rPr>
        <w:t>made available to the reconcilers and</w:t>
      </w:r>
      <w:r w:rsidRPr="00DF6CA0">
        <w:rPr>
          <w:lang w:val="en-GB"/>
        </w:rPr>
        <w:t xml:space="preserve"> referred to </w:t>
      </w:r>
      <w:r w:rsidR="008A44FA" w:rsidRPr="00DF6CA0">
        <w:rPr>
          <w:lang w:val="en-GB"/>
        </w:rPr>
        <w:t>the appropriate</w:t>
      </w:r>
      <w:r w:rsidRPr="00DF6CA0">
        <w:rPr>
          <w:lang w:val="en-GB"/>
        </w:rPr>
        <w:t xml:space="preserve"> template line it </w:t>
      </w:r>
      <w:r w:rsidR="008A44FA" w:rsidRPr="00DF6CA0">
        <w:rPr>
          <w:lang w:val="en-GB"/>
        </w:rPr>
        <w:t>has been</w:t>
      </w:r>
      <w:r w:rsidRPr="00DF6CA0">
        <w:rPr>
          <w:lang w:val="en-GB"/>
        </w:rPr>
        <w:t xml:space="preserve"> included under (the</w:t>
      </w:r>
      <w:r w:rsidR="000819E8" w:rsidRPr="00DF6CA0">
        <w:rPr>
          <w:lang w:val="en-GB"/>
        </w:rPr>
        <w:t xml:space="preserve"> </w:t>
      </w:r>
      <w:r w:rsidR="003C6DAA" w:rsidRPr="00DF6CA0">
        <w:rPr>
          <w:lang w:val="en-GB"/>
        </w:rPr>
        <w:t>official</w:t>
      </w:r>
      <w:r w:rsidRPr="00DF6CA0">
        <w:rPr>
          <w:lang w:val="en-GB"/>
        </w:rPr>
        <w:t xml:space="preserve"> receipt will specify the type of tax).</w:t>
      </w:r>
      <w:r w:rsidR="008A68C8" w:rsidRPr="00DF6CA0">
        <w:rPr>
          <w:lang w:val="en-GB"/>
        </w:rPr>
        <w:t xml:space="preserve"> </w:t>
      </w:r>
    </w:p>
    <w:p w:rsidR="00966629" w:rsidRPr="00DF6CA0" w:rsidRDefault="008A68C8" w:rsidP="00104083">
      <w:pPr>
        <w:spacing w:after="240"/>
        <w:jc w:val="both"/>
        <w:rPr>
          <w:lang w:val="en-GB"/>
        </w:rPr>
      </w:pPr>
      <w:r w:rsidRPr="00DF6CA0">
        <w:rPr>
          <w:lang w:val="en-GB"/>
        </w:rPr>
        <w:t>However, originals or copies of</w:t>
      </w:r>
      <w:r w:rsidR="000819E8" w:rsidRPr="00DF6CA0">
        <w:rPr>
          <w:lang w:val="en-GB"/>
        </w:rPr>
        <w:t xml:space="preserve"> </w:t>
      </w:r>
      <w:r w:rsidR="003C6DAA" w:rsidRPr="00DF6CA0">
        <w:rPr>
          <w:lang w:val="en-GB"/>
        </w:rPr>
        <w:t>official</w:t>
      </w:r>
      <w:r w:rsidRPr="00DF6CA0">
        <w:rPr>
          <w:lang w:val="en-GB"/>
        </w:rPr>
        <w:t xml:space="preserve"> receipts do not need to be provided with the templates and supporting information, although this is always welcome as it helps</w:t>
      </w:r>
      <w:r w:rsidR="008A44FA" w:rsidRPr="00DF6CA0">
        <w:rPr>
          <w:lang w:val="en-GB"/>
        </w:rPr>
        <w:t xml:space="preserve"> </w:t>
      </w:r>
      <w:r w:rsidRPr="00DF6CA0">
        <w:rPr>
          <w:lang w:val="en-GB"/>
        </w:rPr>
        <w:t xml:space="preserve">with the reconciliation and means that we will probably not need to raise queries with the </w:t>
      </w:r>
      <w:r w:rsidR="003A265D" w:rsidRPr="00DF6CA0">
        <w:rPr>
          <w:lang w:val="en-GB"/>
        </w:rPr>
        <w:t>mining company</w:t>
      </w:r>
      <w:r w:rsidRPr="00DF6CA0">
        <w:rPr>
          <w:lang w:val="en-GB"/>
        </w:rPr>
        <w:t xml:space="preserve"> or </w:t>
      </w:r>
      <w:r w:rsidR="002A5F4E" w:rsidRPr="00DF6CA0">
        <w:rPr>
          <w:lang w:val="en-GB"/>
        </w:rPr>
        <w:t>Government</w:t>
      </w:r>
      <w:r w:rsidRPr="00DF6CA0">
        <w:rPr>
          <w:lang w:val="en-GB"/>
        </w:rPr>
        <w:t xml:space="preserve"> </w:t>
      </w:r>
      <w:r w:rsidR="002A5F4E" w:rsidRPr="00DF6CA0">
        <w:rPr>
          <w:lang w:val="en-GB"/>
        </w:rPr>
        <w:t>a</w:t>
      </w:r>
      <w:r w:rsidRPr="00DF6CA0">
        <w:rPr>
          <w:lang w:val="en-GB"/>
        </w:rPr>
        <w:t>gency later.</w:t>
      </w:r>
    </w:p>
    <w:p w:rsidR="008B5EB3" w:rsidRPr="00DF6CA0" w:rsidRDefault="00966629" w:rsidP="00033DAE">
      <w:pPr>
        <w:spacing w:after="240"/>
        <w:jc w:val="both"/>
        <w:rPr>
          <w:lang w:val="en-GB"/>
        </w:rPr>
      </w:pPr>
      <w:r w:rsidRPr="00DF6CA0">
        <w:rPr>
          <w:lang w:val="en-GB"/>
        </w:rPr>
        <w:t>Official receipts should be ma</w:t>
      </w:r>
      <w:r w:rsidR="000819E8" w:rsidRPr="00DF6CA0">
        <w:rPr>
          <w:lang w:val="en-GB"/>
        </w:rPr>
        <w:t>de</w:t>
      </w:r>
      <w:r w:rsidRPr="00DF6CA0">
        <w:rPr>
          <w:lang w:val="en-GB"/>
        </w:rPr>
        <w:t xml:space="preserve"> available in case further investigation</w:t>
      </w:r>
      <w:r w:rsidR="007179AB" w:rsidRPr="00DF6CA0">
        <w:rPr>
          <w:lang w:val="en-GB"/>
        </w:rPr>
        <w:t>s</w:t>
      </w:r>
      <w:r w:rsidRPr="00DF6CA0">
        <w:rPr>
          <w:lang w:val="en-GB"/>
        </w:rPr>
        <w:t xml:space="preserve"> are needed.</w:t>
      </w:r>
    </w:p>
    <w:p w:rsidR="008B5EB3" w:rsidRPr="00DF6CA0" w:rsidRDefault="008B5EB3">
      <w:pPr>
        <w:rPr>
          <w:lang w:val="en-GB"/>
        </w:rPr>
      </w:pPr>
      <w:r w:rsidRPr="00DF6CA0">
        <w:rPr>
          <w:lang w:val="en-GB"/>
        </w:rPr>
        <w:br w:type="page"/>
      </w:r>
    </w:p>
    <w:p w:rsidR="007179AB" w:rsidRPr="00DF6CA0" w:rsidRDefault="007179AB" w:rsidP="008B5EB3">
      <w:pPr>
        <w:jc w:val="both"/>
        <w:rPr>
          <w:lang w:val="en-GB"/>
        </w:rPr>
      </w:pPr>
    </w:p>
    <w:p w:rsidR="001D00D1" w:rsidRPr="00DF6CA0" w:rsidRDefault="0069206C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Currency of payment / receipt</w:t>
      </w:r>
    </w:p>
    <w:p w:rsidR="008A68C8" w:rsidRPr="00DF6CA0" w:rsidRDefault="000819E8" w:rsidP="006C28F1">
      <w:pPr>
        <w:spacing w:after="240"/>
        <w:jc w:val="both"/>
        <w:rPr>
          <w:lang w:val="en-GB"/>
        </w:rPr>
      </w:pPr>
      <w:r w:rsidRPr="00DF6CA0">
        <w:rPr>
          <w:lang w:val="en-GB"/>
        </w:rPr>
        <w:t>T</w:t>
      </w:r>
      <w:r w:rsidR="00506CAE" w:rsidRPr="00DF6CA0">
        <w:rPr>
          <w:lang w:val="en-GB"/>
        </w:rPr>
        <w:t xml:space="preserve">he reporting </w:t>
      </w:r>
      <w:r w:rsidR="004D1950" w:rsidRPr="00DF6CA0">
        <w:rPr>
          <w:lang w:val="en-GB"/>
        </w:rPr>
        <w:t>t</w:t>
      </w:r>
      <w:r w:rsidR="00E5516E" w:rsidRPr="00DF6CA0">
        <w:rPr>
          <w:lang w:val="en-GB"/>
        </w:rPr>
        <w:t>emplate contain</w:t>
      </w:r>
      <w:r w:rsidR="00506CAE" w:rsidRPr="00DF6CA0">
        <w:rPr>
          <w:lang w:val="en-GB"/>
        </w:rPr>
        <w:t>s</w:t>
      </w:r>
      <w:r w:rsidR="00E5516E" w:rsidRPr="00DF6CA0">
        <w:rPr>
          <w:lang w:val="en-GB"/>
        </w:rPr>
        <w:t xml:space="preserve"> columns </w:t>
      </w:r>
      <w:r w:rsidR="002C2698" w:rsidRPr="00DF6CA0">
        <w:rPr>
          <w:lang w:val="en-GB"/>
        </w:rPr>
        <w:t>to indicate the currency</w:t>
      </w:r>
      <w:r w:rsidR="00487B24" w:rsidRPr="00DF6CA0">
        <w:rPr>
          <w:lang w:val="en-GB"/>
        </w:rPr>
        <w:t xml:space="preserve"> of </w:t>
      </w:r>
      <w:r w:rsidR="002C2698" w:rsidRPr="00DF6CA0">
        <w:rPr>
          <w:lang w:val="en-GB"/>
        </w:rPr>
        <w:t xml:space="preserve">the transactions </w:t>
      </w:r>
      <w:r w:rsidR="00E5516E" w:rsidRPr="00DF6CA0">
        <w:rPr>
          <w:lang w:val="en-GB"/>
        </w:rPr>
        <w:t xml:space="preserve">(i.e. USD or </w:t>
      </w:r>
      <w:r w:rsidR="008B5EB3" w:rsidRPr="00DF6CA0">
        <w:rPr>
          <w:lang w:val="en-GB"/>
        </w:rPr>
        <w:t>LBD)</w:t>
      </w:r>
      <w:r w:rsidR="00E5516E" w:rsidRPr="00DF6CA0">
        <w:rPr>
          <w:lang w:val="en-GB"/>
        </w:rPr>
        <w:t>.</w:t>
      </w:r>
    </w:p>
    <w:p w:rsidR="00CC3F7B" w:rsidRPr="00DF6CA0" w:rsidRDefault="008B5EB3" w:rsidP="008B5EB3">
      <w:pPr>
        <w:spacing w:after="240"/>
        <w:jc w:val="both"/>
        <w:rPr>
          <w:lang w:val="en-GB"/>
        </w:rPr>
      </w:pPr>
      <w:r w:rsidRPr="00DF6CA0">
        <w:rPr>
          <w:lang w:val="en-GB"/>
        </w:rPr>
        <w:t xml:space="preserve">It is highly recommended to </w:t>
      </w:r>
      <w:r w:rsidR="00E5516E" w:rsidRPr="00DF6CA0">
        <w:rPr>
          <w:lang w:val="en-GB"/>
        </w:rPr>
        <w:t xml:space="preserve">not </w:t>
      </w:r>
      <w:r w:rsidRPr="00DF6CA0">
        <w:rPr>
          <w:lang w:val="en-GB"/>
        </w:rPr>
        <w:t>convert</w:t>
      </w:r>
      <w:r w:rsidR="00F87D08" w:rsidRPr="00DF6CA0">
        <w:rPr>
          <w:lang w:val="en-GB"/>
        </w:rPr>
        <w:t xml:space="preserve"> any </w:t>
      </w:r>
      <w:r w:rsidRPr="00DF6CA0">
        <w:rPr>
          <w:lang w:val="en-GB"/>
        </w:rPr>
        <w:t>payment</w:t>
      </w:r>
      <w:r w:rsidR="002D69D0" w:rsidRPr="00DF6CA0">
        <w:rPr>
          <w:lang w:val="en-GB"/>
        </w:rPr>
        <w:t>/</w:t>
      </w:r>
      <w:r w:rsidRPr="00DF6CA0">
        <w:rPr>
          <w:lang w:val="en-GB"/>
        </w:rPr>
        <w:t>receipt</w:t>
      </w:r>
      <w:r w:rsidR="00F87D08" w:rsidRPr="00DF6CA0">
        <w:rPr>
          <w:lang w:val="en-GB"/>
        </w:rPr>
        <w:t xml:space="preserve"> into</w:t>
      </w:r>
      <w:r w:rsidR="008A68C8" w:rsidRPr="00DF6CA0">
        <w:rPr>
          <w:lang w:val="en-GB"/>
        </w:rPr>
        <w:t xml:space="preserve"> </w:t>
      </w:r>
      <w:r w:rsidR="00F87D08" w:rsidRPr="00DF6CA0">
        <w:rPr>
          <w:lang w:val="en-GB"/>
        </w:rPr>
        <w:t>the other currency as this creates the risk of diffe</w:t>
      </w:r>
      <w:r w:rsidR="00844565" w:rsidRPr="00DF6CA0">
        <w:rPr>
          <w:lang w:val="en-GB"/>
        </w:rPr>
        <w:t>rent conversion rates being applied to the same transaction</w:t>
      </w:r>
      <w:r w:rsidR="004D1950" w:rsidRPr="00DF6CA0">
        <w:rPr>
          <w:lang w:val="en-GB"/>
        </w:rPr>
        <w:t xml:space="preserve"> and makes </w:t>
      </w:r>
      <w:r w:rsidR="00CC3F7B" w:rsidRPr="00DF6CA0">
        <w:rPr>
          <w:lang w:val="en-GB"/>
        </w:rPr>
        <w:t>reconciliation difficult</w:t>
      </w:r>
      <w:r w:rsidR="0077246F" w:rsidRPr="00DF6CA0">
        <w:rPr>
          <w:lang w:val="en-GB"/>
        </w:rPr>
        <w:t>.</w:t>
      </w:r>
    </w:p>
    <w:p w:rsidR="00366D92" w:rsidRPr="00DF6CA0" w:rsidRDefault="00366D92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Basis</w:t>
      </w:r>
      <w:r w:rsidR="00226DCA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 of reporting</w:t>
      </w:r>
    </w:p>
    <w:p w:rsidR="00F8334B" w:rsidRPr="00DF6CA0" w:rsidRDefault="009542A7" w:rsidP="000223B1">
      <w:pPr>
        <w:pStyle w:val="Heading2"/>
        <w:numPr>
          <w:ilvl w:val="1"/>
          <w:numId w:val="43"/>
        </w:numPr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>Amounts paid/received</w:t>
      </w:r>
    </w:p>
    <w:p w:rsidR="00713EED" w:rsidRPr="00DF6CA0" w:rsidRDefault="00257164" w:rsidP="00713EED">
      <w:pPr>
        <w:pStyle w:val="ListParagraph"/>
        <w:numPr>
          <w:ilvl w:val="0"/>
          <w:numId w:val="22"/>
        </w:numPr>
        <w:spacing w:after="180"/>
        <w:ind w:left="357"/>
        <w:jc w:val="both"/>
        <w:rPr>
          <w:lang w:val="en-GB" w:bidi="ar-TN"/>
        </w:rPr>
      </w:pPr>
      <w:r w:rsidRPr="00DF6CA0">
        <w:rPr>
          <w:lang w:val="en-GB" w:bidi="ar-TN"/>
        </w:rPr>
        <w:t>All figures included in the</w:t>
      </w:r>
      <w:r w:rsidR="00713EED" w:rsidRPr="00DF6CA0">
        <w:rPr>
          <w:lang w:val="en-GB" w:bidi="ar-TN"/>
        </w:rPr>
        <w:t xml:space="preserve"> templates</w:t>
      </w:r>
      <w:r w:rsidR="00D416DA" w:rsidRPr="00DF6CA0">
        <w:rPr>
          <w:lang w:val="en-GB" w:bidi="ar-TN"/>
        </w:rPr>
        <w:t xml:space="preserve"> </w:t>
      </w:r>
      <w:r w:rsidR="00713EED" w:rsidRPr="00DF6CA0">
        <w:rPr>
          <w:lang w:val="en-GB" w:bidi="ar-TN"/>
        </w:rPr>
        <w:t xml:space="preserve">and supporting schedules must be calculated on a strict cash basis. Accordingly, any payment made prior to 1 </w:t>
      </w:r>
      <w:r w:rsidR="001E5246" w:rsidRPr="00DF6CA0">
        <w:rPr>
          <w:lang w:val="en-GB" w:bidi="ar-TN"/>
        </w:rPr>
        <w:t>July</w:t>
      </w:r>
      <w:r w:rsidR="00713EED" w:rsidRPr="00DF6CA0">
        <w:rPr>
          <w:lang w:val="en-GB" w:bidi="ar-TN"/>
        </w:rPr>
        <w:t xml:space="preserve"> </w:t>
      </w:r>
      <w:r w:rsidR="0041054E" w:rsidRPr="00DF6CA0">
        <w:rPr>
          <w:lang w:val="en-GB" w:bidi="ar-TN"/>
        </w:rPr>
        <w:t>2012</w:t>
      </w:r>
      <w:r w:rsidR="00713EED" w:rsidRPr="00DF6CA0">
        <w:rPr>
          <w:lang w:val="en-GB" w:bidi="ar-TN"/>
        </w:rPr>
        <w:t xml:space="preserve"> should be excluded. The same applies to any payment </w:t>
      </w:r>
      <w:r w:rsidR="0041054E" w:rsidRPr="00DF6CA0">
        <w:rPr>
          <w:lang w:val="en-GB" w:bidi="ar-TN"/>
        </w:rPr>
        <w:t>made after 3</w:t>
      </w:r>
      <w:r w:rsidR="001E5246" w:rsidRPr="00DF6CA0">
        <w:rPr>
          <w:lang w:val="en-GB" w:bidi="ar-TN"/>
        </w:rPr>
        <w:t xml:space="preserve">0 June </w:t>
      </w:r>
      <w:r w:rsidR="0041054E" w:rsidRPr="00DF6CA0">
        <w:rPr>
          <w:lang w:val="en-GB" w:bidi="ar-TN"/>
        </w:rPr>
        <w:t>2013</w:t>
      </w:r>
      <w:r w:rsidR="00713EED" w:rsidRPr="00DF6CA0">
        <w:rPr>
          <w:lang w:val="en-GB" w:bidi="ar-TN"/>
        </w:rPr>
        <w:t>. For clarification, the date of payment is the date recorded on the official receipt.</w:t>
      </w:r>
    </w:p>
    <w:p w:rsidR="00713EED" w:rsidRPr="00DF6CA0" w:rsidRDefault="00257164" w:rsidP="00713EED">
      <w:pPr>
        <w:pStyle w:val="ListParagraph"/>
        <w:numPr>
          <w:ilvl w:val="0"/>
          <w:numId w:val="22"/>
        </w:numPr>
        <w:spacing w:after="180"/>
        <w:ind w:left="357"/>
        <w:jc w:val="both"/>
        <w:rPr>
          <w:lang w:val="en-GB" w:bidi="ar-TN"/>
        </w:rPr>
      </w:pPr>
      <w:r w:rsidRPr="00DF6CA0">
        <w:rPr>
          <w:lang w:val="en-GB" w:bidi="ar-TN"/>
        </w:rPr>
        <w:t>“</w:t>
      </w:r>
      <w:hyperlink r:id="rId14" w:history="1">
        <w:r w:rsidRPr="00DF6CA0">
          <w:rPr>
            <w:lang w:val="en-GB" w:eastAsia="fr-FR"/>
          </w:rPr>
          <w:t xml:space="preserve">Payment/Receipt </w:t>
        </w:r>
        <w:r w:rsidR="001E5246" w:rsidRPr="00DF6CA0">
          <w:rPr>
            <w:lang w:val="en-GB" w:eastAsia="fr-FR"/>
          </w:rPr>
          <w:t>Report</w:t>
        </w:r>
      </w:hyperlink>
      <w:r w:rsidRPr="00DF6CA0">
        <w:rPr>
          <w:lang w:val="en-GB" w:eastAsia="fr-FR"/>
        </w:rPr>
        <w:t>”</w:t>
      </w:r>
      <w:r w:rsidR="00713EED" w:rsidRPr="00DF6CA0">
        <w:rPr>
          <w:lang w:val="en-GB" w:bidi="ar-TN"/>
        </w:rPr>
        <w:t xml:space="preserve"> should not only include data on amounts paid by a company but also include </w:t>
      </w:r>
      <w:r w:rsidR="001E5246" w:rsidRPr="00DF6CA0">
        <w:rPr>
          <w:lang w:val="en-GB" w:bidi="ar-TN"/>
        </w:rPr>
        <w:t xml:space="preserve">payments made on its behalf by </w:t>
      </w:r>
      <w:r w:rsidR="00713EED" w:rsidRPr="00DF6CA0">
        <w:rPr>
          <w:lang w:val="en-GB" w:bidi="ar-TN"/>
        </w:rPr>
        <w:t>other entities or third parties (clearing agents).</w:t>
      </w:r>
    </w:p>
    <w:p w:rsidR="00713EED" w:rsidRPr="00DF6CA0" w:rsidRDefault="00713EED" w:rsidP="00713EED">
      <w:pPr>
        <w:pStyle w:val="ListParagraph"/>
        <w:numPr>
          <w:ilvl w:val="0"/>
          <w:numId w:val="22"/>
        </w:numPr>
        <w:spacing w:after="180"/>
        <w:ind w:left="357"/>
        <w:jc w:val="both"/>
        <w:rPr>
          <w:lang w:val="en-GB" w:bidi="ar-TN"/>
        </w:rPr>
      </w:pPr>
      <w:r w:rsidRPr="00DF6CA0">
        <w:rPr>
          <w:lang w:val="en-GB" w:bidi="ar-TN"/>
        </w:rPr>
        <w:t xml:space="preserve">For extractives companies, the </w:t>
      </w:r>
      <w:r w:rsidR="00257164" w:rsidRPr="00DF6CA0">
        <w:rPr>
          <w:lang w:val="en-GB" w:bidi="ar-TN"/>
        </w:rPr>
        <w:t>“</w:t>
      </w:r>
      <w:hyperlink r:id="rId15" w:history="1">
        <w:r w:rsidR="00257164" w:rsidRPr="00DF6CA0">
          <w:rPr>
            <w:lang w:val="en-GB" w:eastAsia="fr-FR"/>
          </w:rPr>
          <w:t xml:space="preserve">Payment/Receipt </w:t>
        </w:r>
        <w:r w:rsidR="001E5246" w:rsidRPr="00DF6CA0">
          <w:rPr>
            <w:lang w:val="en-GB" w:eastAsia="fr-FR"/>
          </w:rPr>
          <w:t>Report</w:t>
        </w:r>
      </w:hyperlink>
      <w:r w:rsidR="00257164" w:rsidRPr="00DF6CA0">
        <w:rPr>
          <w:lang w:val="en-GB" w:eastAsia="fr-FR"/>
        </w:rPr>
        <w:t>”</w:t>
      </w:r>
      <w:r w:rsidRPr="00DF6CA0">
        <w:rPr>
          <w:lang w:val="en-GB" w:bidi="ar-TN"/>
        </w:rPr>
        <w:t xml:space="preserve"> should include payments made </w:t>
      </w:r>
      <w:r w:rsidR="001E5246" w:rsidRPr="00DF6CA0">
        <w:rPr>
          <w:lang w:val="en-GB" w:bidi="ar-TN"/>
        </w:rPr>
        <w:t>to</w:t>
      </w:r>
      <w:r w:rsidRPr="00DF6CA0">
        <w:rPr>
          <w:lang w:val="en-GB" w:bidi="ar-TN"/>
        </w:rPr>
        <w:t xml:space="preserve"> </w:t>
      </w:r>
      <w:r w:rsidR="0041054E" w:rsidRPr="00DF6CA0">
        <w:rPr>
          <w:lang w:val="en-GB" w:bidi="ar-TN"/>
        </w:rPr>
        <w:t>all</w:t>
      </w:r>
      <w:r w:rsidRPr="00DF6CA0">
        <w:rPr>
          <w:lang w:val="en-GB" w:bidi="ar-TN"/>
        </w:rPr>
        <w:t xml:space="preserve"> Government Agencies</w:t>
      </w:r>
      <w:r w:rsidRPr="00DF6CA0">
        <w:rPr>
          <w:rFonts w:cs="Times New Roman"/>
          <w:bCs/>
          <w:lang w:val="en-GB" w:bidi="ar-TN"/>
        </w:rPr>
        <w:t xml:space="preserve"> in </w:t>
      </w:r>
      <w:r w:rsidR="0041054E" w:rsidRPr="00DF6CA0">
        <w:rPr>
          <w:rFonts w:cs="Times New Roman"/>
          <w:bCs/>
          <w:lang w:val="en-GB" w:bidi="ar-TN"/>
        </w:rPr>
        <w:t>Annex</w:t>
      </w:r>
      <w:r w:rsidR="001E5246" w:rsidRPr="00DF6CA0">
        <w:rPr>
          <w:rFonts w:cs="Times New Roman"/>
          <w:bCs/>
          <w:lang w:val="en-GB" w:bidi="ar-TN"/>
        </w:rPr>
        <w:t xml:space="preserve"> 2</w:t>
      </w:r>
      <w:r w:rsidR="0041054E" w:rsidRPr="00DF6CA0">
        <w:rPr>
          <w:rFonts w:cs="Times New Roman"/>
          <w:bCs/>
          <w:lang w:val="en-GB" w:bidi="ar-TN"/>
        </w:rPr>
        <w:t>.</w:t>
      </w:r>
    </w:p>
    <w:p w:rsidR="003402B0" w:rsidRPr="00DF6CA0" w:rsidRDefault="003402B0" w:rsidP="00B04658">
      <w:pPr>
        <w:pStyle w:val="Heading2"/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>Amounts due</w:t>
      </w:r>
    </w:p>
    <w:p w:rsidR="004B25BD" w:rsidRPr="00DF6CA0" w:rsidRDefault="00FF3CCB" w:rsidP="00FF3CCB">
      <w:pPr>
        <w:spacing w:after="240"/>
        <w:jc w:val="both"/>
        <w:rPr>
          <w:lang w:val="en-GB"/>
        </w:rPr>
      </w:pPr>
      <w:r w:rsidRPr="00DF6CA0">
        <w:rPr>
          <w:lang w:val="en-GB"/>
        </w:rPr>
        <w:t xml:space="preserve">Taxes accrued and not paid during the period under review </w:t>
      </w:r>
      <w:r w:rsidR="000223B1" w:rsidRPr="00DF6CA0">
        <w:rPr>
          <w:lang w:val="en-GB"/>
        </w:rPr>
        <w:t>(2012-</w:t>
      </w:r>
      <w:r w:rsidR="0041054E" w:rsidRPr="00DF6CA0">
        <w:rPr>
          <w:lang w:val="en-GB"/>
        </w:rPr>
        <w:t>2013</w:t>
      </w:r>
      <w:r w:rsidR="00713EED" w:rsidRPr="00DF6CA0">
        <w:rPr>
          <w:lang w:val="en-GB"/>
        </w:rPr>
        <w:t xml:space="preserve">) </w:t>
      </w:r>
      <w:r w:rsidRPr="00DF6CA0">
        <w:rPr>
          <w:lang w:val="en-GB"/>
        </w:rPr>
        <w:t xml:space="preserve">should not be included </w:t>
      </w:r>
      <w:r w:rsidR="000223B1" w:rsidRPr="00DF6CA0">
        <w:rPr>
          <w:lang w:val="en-GB"/>
        </w:rPr>
        <w:t>in</w:t>
      </w:r>
      <w:r w:rsidRPr="00DF6CA0">
        <w:rPr>
          <w:lang w:val="en-GB"/>
        </w:rPr>
        <w:t xml:space="preserve"> the reporting template.</w:t>
      </w:r>
    </w:p>
    <w:p w:rsidR="00204B7B" w:rsidRPr="00DF6CA0" w:rsidRDefault="00423913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ind w:left="357" w:hanging="357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Attestation</w:t>
      </w:r>
      <w:r w:rsidR="00487B24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s</w:t>
      </w:r>
    </w:p>
    <w:p w:rsidR="00713EED" w:rsidRPr="00DF6CA0" w:rsidRDefault="00713EED" w:rsidP="000223B1">
      <w:pPr>
        <w:numPr>
          <w:ilvl w:val="0"/>
          <w:numId w:val="11"/>
        </w:numPr>
        <w:spacing w:after="120"/>
        <w:ind w:left="284" w:hanging="284"/>
        <w:jc w:val="both"/>
        <w:rPr>
          <w:bCs/>
          <w:lang w:val="en-GB"/>
        </w:rPr>
      </w:pPr>
      <w:r w:rsidRPr="00DF6CA0">
        <w:rPr>
          <w:bCs/>
          <w:lang w:val="en-GB"/>
        </w:rPr>
        <w:t xml:space="preserve">Each company </w:t>
      </w:r>
      <w:r w:rsidR="000223B1" w:rsidRPr="00DF6CA0">
        <w:rPr>
          <w:lang w:val="en-GB" w:bidi="ar-TN"/>
        </w:rPr>
        <w:t>“</w:t>
      </w:r>
      <w:hyperlink r:id="rId16" w:history="1">
        <w:r w:rsidR="000223B1" w:rsidRPr="00DF6CA0">
          <w:rPr>
            <w:lang w:val="en-GB" w:eastAsia="fr-FR"/>
          </w:rPr>
          <w:t>Payment/Receipt Report</w:t>
        </w:r>
      </w:hyperlink>
      <w:r w:rsidR="000223B1" w:rsidRPr="00DF6CA0">
        <w:rPr>
          <w:lang w:val="en-GB" w:eastAsia="fr-FR"/>
        </w:rPr>
        <w:t xml:space="preserve">” </w:t>
      </w:r>
      <w:r w:rsidRPr="00DF6CA0">
        <w:rPr>
          <w:bCs/>
          <w:lang w:val="en-GB"/>
        </w:rPr>
        <w:t>must be signed</w:t>
      </w:r>
      <w:r w:rsidR="000223B1" w:rsidRPr="00DF6CA0">
        <w:rPr>
          <w:bCs/>
          <w:lang w:val="en-GB"/>
        </w:rPr>
        <w:t xml:space="preserve"> off</w:t>
      </w:r>
      <w:r w:rsidRPr="00DF6CA0">
        <w:rPr>
          <w:bCs/>
          <w:lang w:val="en-GB"/>
        </w:rPr>
        <w:t xml:space="preserve"> </w:t>
      </w:r>
      <w:r w:rsidR="00257164" w:rsidRPr="00DF6CA0">
        <w:rPr>
          <w:bCs/>
          <w:lang w:val="en-GB"/>
        </w:rPr>
        <w:t xml:space="preserve">by </w:t>
      </w:r>
      <w:r w:rsidRPr="00DF6CA0">
        <w:rPr>
          <w:bCs/>
          <w:lang w:val="en-GB"/>
        </w:rPr>
        <w:t>a Boar</w:t>
      </w:r>
      <w:r w:rsidR="00D728EE" w:rsidRPr="00DF6CA0">
        <w:rPr>
          <w:bCs/>
          <w:lang w:val="en-GB"/>
        </w:rPr>
        <w:t>d level or senior level manager.</w:t>
      </w:r>
    </w:p>
    <w:p w:rsidR="00713EED" w:rsidRPr="00DF6CA0" w:rsidRDefault="00713EED" w:rsidP="000223B1">
      <w:pPr>
        <w:numPr>
          <w:ilvl w:val="0"/>
          <w:numId w:val="11"/>
        </w:numPr>
        <w:spacing w:after="120"/>
        <w:ind w:left="284" w:hanging="284"/>
        <w:jc w:val="both"/>
        <w:rPr>
          <w:bCs/>
          <w:lang w:val="en-GB"/>
        </w:rPr>
      </w:pPr>
      <w:r w:rsidRPr="00DF6CA0">
        <w:rPr>
          <w:bCs/>
          <w:lang w:val="en-GB"/>
        </w:rPr>
        <w:t xml:space="preserve">Each </w:t>
      </w:r>
      <w:r w:rsidR="000223B1" w:rsidRPr="00DF6CA0">
        <w:rPr>
          <w:bCs/>
          <w:lang w:val="en-GB"/>
        </w:rPr>
        <w:t xml:space="preserve">Government Agency </w:t>
      </w:r>
      <w:r w:rsidR="000223B1" w:rsidRPr="00DF6CA0">
        <w:rPr>
          <w:lang w:val="en-GB" w:bidi="ar-TN"/>
        </w:rPr>
        <w:t>“</w:t>
      </w:r>
      <w:hyperlink r:id="rId17" w:history="1">
        <w:r w:rsidR="000223B1" w:rsidRPr="00DF6CA0">
          <w:rPr>
            <w:lang w:val="en-GB" w:eastAsia="fr-FR"/>
          </w:rPr>
          <w:t>Payment/Receipt Report</w:t>
        </w:r>
      </w:hyperlink>
      <w:r w:rsidR="000223B1" w:rsidRPr="00DF6CA0">
        <w:rPr>
          <w:lang w:val="en-GB" w:eastAsia="fr-FR"/>
        </w:rPr>
        <w:t xml:space="preserve">” </w:t>
      </w:r>
      <w:r w:rsidRPr="00DF6CA0">
        <w:rPr>
          <w:bCs/>
          <w:lang w:val="en-GB"/>
        </w:rPr>
        <w:t xml:space="preserve">must be signed </w:t>
      </w:r>
      <w:r w:rsidR="000223B1" w:rsidRPr="00DF6CA0">
        <w:rPr>
          <w:bCs/>
          <w:lang w:val="en-GB"/>
        </w:rPr>
        <w:t xml:space="preserve">off </w:t>
      </w:r>
      <w:r w:rsidRPr="00DF6CA0">
        <w:rPr>
          <w:bCs/>
          <w:lang w:val="en-GB"/>
        </w:rPr>
        <w:t>by a senior off</w:t>
      </w:r>
      <w:r w:rsidR="00D728EE" w:rsidRPr="00DF6CA0">
        <w:rPr>
          <w:bCs/>
          <w:lang w:val="en-GB"/>
        </w:rPr>
        <w:t>icial.</w:t>
      </w:r>
    </w:p>
    <w:p w:rsidR="00713EED" w:rsidRPr="00DF6CA0" w:rsidRDefault="00713EED" w:rsidP="000223B1">
      <w:pPr>
        <w:numPr>
          <w:ilvl w:val="0"/>
          <w:numId w:val="11"/>
        </w:numPr>
        <w:spacing w:after="120"/>
        <w:ind w:left="284" w:hanging="284"/>
        <w:jc w:val="both"/>
        <w:rPr>
          <w:bCs/>
          <w:lang w:val="en-GB"/>
        </w:rPr>
      </w:pPr>
      <w:r w:rsidRPr="00DF6CA0">
        <w:rPr>
          <w:bCs/>
          <w:lang w:val="en-GB"/>
        </w:rPr>
        <w:t xml:space="preserve">Each </w:t>
      </w:r>
      <w:r w:rsidR="000223B1" w:rsidRPr="00DF6CA0">
        <w:rPr>
          <w:bCs/>
          <w:lang w:val="en-GB"/>
        </w:rPr>
        <w:t>Reporting Template</w:t>
      </w:r>
      <w:r w:rsidR="00257164" w:rsidRPr="00DF6CA0">
        <w:rPr>
          <w:bCs/>
          <w:lang w:val="en-GB"/>
        </w:rPr>
        <w:t xml:space="preserve"> </w:t>
      </w:r>
      <w:r w:rsidRPr="00DF6CA0">
        <w:rPr>
          <w:bCs/>
          <w:lang w:val="en-GB"/>
        </w:rPr>
        <w:t>must be certified by an external auditor:</w:t>
      </w:r>
    </w:p>
    <w:p w:rsidR="00713EED" w:rsidRPr="00DF6CA0" w:rsidRDefault="000223B1" w:rsidP="000223B1">
      <w:pPr>
        <w:numPr>
          <w:ilvl w:val="0"/>
          <w:numId w:val="25"/>
        </w:numPr>
        <w:spacing w:after="120"/>
        <w:ind w:hanging="294"/>
        <w:jc w:val="both"/>
        <w:rPr>
          <w:bCs/>
          <w:lang w:val="en-GB"/>
        </w:rPr>
      </w:pPr>
      <w:r w:rsidRPr="00DF6CA0">
        <w:rPr>
          <w:bCs/>
          <w:u w:val="single"/>
          <w:lang w:val="en-GB"/>
        </w:rPr>
        <w:t>extractive companies and NOCAL</w:t>
      </w:r>
      <w:r w:rsidR="00713EED" w:rsidRPr="00DF6CA0">
        <w:rPr>
          <w:bCs/>
          <w:lang w:val="en-GB"/>
        </w:rPr>
        <w:t xml:space="preserve">: </w:t>
      </w:r>
      <w:r w:rsidR="00C94B35" w:rsidRPr="00DF6CA0">
        <w:rPr>
          <w:bCs/>
          <w:lang w:val="en-GB"/>
        </w:rPr>
        <w:t>are required</w:t>
      </w:r>
      <w:r w:rsidR="00713EED" w:rsidRPr="00DF6CA0">
        <w:rPr>
          <w:bCs/>
          <w:lang w:val="en-GB"/>
        </w:rPr>
        <w:t xml:space="preserve"> </w:t>
      </w:r>
      <w:r w:rsidR="00C94B35" w:rsidRPr="00DF6CA0">
        <w:rPr>
          <w:bCs/>
          <w:lang w:val="en-GB"/>
        </w:rPr>
        <w:t xml:space="preserve">to </w:t>
      </w:r>
      <w:r w:rsidR="00713EED" w:rsidRPr="00DF6CA0">
        <w:rPr>
          <w:bCs/>
          <w:lang w:val="en-GB"/>
        </w:rPr>
        <w:t>obtain confirmation from a registered external auditor th</w:t>
      </w:r>
      <w:r w:rsidR="00257164" w:rsidRPr="00DF6CA0">
        <w:rPr>
          <w:bCs/>
          <w:lang w:val="en-GB"/>
        </w:rPr>
        <w:t>at their 2013</w:t>
      </w:r>
      <w:r w:rsidR="00713EED" w:rsidRPr="00DF6CA0">
        <w:rPr>
          <w:bCs/>
          <w:lang w:val="en-GB"/>
        </w:rPr>
        <w:t xml:space="preserve"> financial statements have been audited under International Auditing Standards and that the </w:t>
      </w:r>
      <w:r w:rsidR="00C94B35" w:rsidRPr="00DF6CA0">
        <w:rPr>
          <w:bCs/>
          <w:lang w:val="en-GB"/>
        </w:rPr>
        <w:t>figures</w:t>
      </w:r>
      <w:r w:rsidR="00713EED" w:rsidRPr="00DF6CA0">
        <w:rPr>
          <w:bCs/>
          <w:lang w:val="en-GB"/>
        </w:rPr>
        <w:t xml:space="preserve"> reported in the </w:t>
      </w:r>
      <w:r w:rsidR="00C94B35" w:rsidRPr="00DF6CA0">
        <w:rPr>
          <w:bCs/>
          <w:lang w:val="en-GB"/>
        </w:rPr>
        <w:t>Reporting Templates</w:t>
      </w:r>
      <w:r w:rsidR="00713EED" w:rsidRPr="00DF6CA0">
        <w:rPr>
          <w:bCs/>
          <w:lang w:val="en-GB"/>
        </w:rPr>
        <w:t xml:space="preserve"> are in accordan</w:t>
      </w:r>
      <w:r w:rsidR="00D728EE" w:rsidRPr="00DF6CA0">
        <w:rPr>
          <w:bCs/>
          <w:lang w:val="en-GB"/>
        </w:rPr>
        <w:t>ce with instructions issued by L</w:t>
      </w:r>
      <w:r w:rsidR="00713EED" w:rsidRPr="00DF6CA0">
        <w:rPr>
          <w:bCs/>
          <w:lang w:val="en-GB"/>
        </w:rPr>
        <w:t>EITI, are complete and are in agreement with the account</w:t>
      </w:r>
      <w:r w:rsidR="00C94B35" w:rsidRPr="00DF6CA0">
        <w:rPr>
          <w:bCs/>
          <w:lang w:val="en-GB"/>
        </w:rPr>
        <w:t>s</w:t>
      </w:r>
      <w:r w:rsidR="00713EED" w:rsidRPr="00DF6CA0">
        <w:rPr>
          <w:bCs/>
          <w:lang w:val="en-GB"/>
        </w:rPr>
        <w:t xml:space="preserve"> </w:t>
      </w:r>
      <w:r w:rsidR="00C94B35" w:rsidRPr="00DF6CA0">
        <w:rPr>
          <w:bCs/>
          <w:lang w:val="en-GB"/>
        </w:rPr>
        <w:t>for the 2012</w:t>
      </w:r>
      <w:r w:rsidR="00D728EE" w:rsidRPr="00DF6CA0">
        <w:rPr>
          <w:bCs/>
          <w:lang w:val="en-GB"/>
        </w:rPr>
        <w:t>-</w:t>
      </w:r>
      <w:r w:rsidR="00C94B35" w:rsidRPr="00DF6CA0">
        <w:rPr>
          <w:bCs/>
          <w:lang w:val="en-GB"/>
        </w:rPr>
        <w:t>2013</w:t>
      </w:r>
      <w:r w:rsidR="00713EED" w:rsidRPr="00DF6CA0">
        <w:rPr>
          <w:bCs/>
          <w:lang w:val="en-GB"/>
        </w:rPr>
        <w:t xml:space="preserve"> period; and</w:t>
      </w:r>
    </w:p>
    <w:p w:rsidR="00713EED" w:rsidRPr="00DF6CA0" w:rsidRDefault="00C94B35" w:rsidP="000223B1">
      <w:pPr>
        <w:numPr>
          <w:ilvl w:val="0"/>
          <w:numId w:val="25"/>
        </w:numPr>
        <w:spacing w:after="120"/>
        <w:ind w:hanging="294"/>
        <w:jc w:val="both"/>
        <w:rPr>
          <w:bCs/>
          <w:lang w:val="en-GB"/>
        </w:rPr>
      </w:pPr>
      <w:r w:rsidRPr="00DF6CA0">
        <w:rPr>
          <w:bCs/>
          <w:u w:val="single"/>
          <w:lang w:val="en-GB"/>
        </w:rPr>
        <w:t>G</w:t>
      </w:r>
      <w:r w:rsidR="00713EED" w:rsidRPr="00DF6CA0">
        <w:rPr>
          <w:bCs/>
          <w:u w:val="single"/>
          <w:lang w:val="en-GB"/>
        </w:rPr>
        <w:t xml:space="preserve">overnment </w:t>
      </w:r>
      <w:r w:rsidRPr="00DF6CA0">
        <w:rPr>
          <w:bCs/>
          <w:u w:val="single"/>
          <w:lang w:val="en-GB"/>
        </w:rPr>
        <w:t>A</w:t>
      </w:r>
      <w:r w:rsidR="00713EED" w:rsidRPr="00DF6CA0">
        <w:rPr>
          <w:bCs/>
          <w:u w:val="single"/>
          <w:lang w:val="en-GB"/>
        </w:rPr>
        <w:t>gencies</w:t>
      </w:r>
      <w:r w:rsidR="00713EED" w:rsidRPr="00DF6CA0">
        <w:rPr>
          <w:bCs/>
          <w:lang w:val="en-GB"/>
        </w:rPr>
        <w:t xml:space="preserve">: </w:t>
      </w:r>
      <w:r w:rsidRPr="00DF6CA0">
        <w:rPr>
          <w:bCs/>
          <w:lang w:val="en-GB"/>
        </w:rPr>
        <w:t>are required to</w:t>
      </w:r>
      <w:r w:rsidR="00713EED" w:rsidRPr="00DF6CA0">
        <w:rPr>
          <w:bCs/>
          <w:lang w:val="en-GB"/>
        </w:rPr>
        <w:t xml:space="preserve"> obtain confirmation from the Auditor General that the transactions reported in the </w:t>
      </w:r>
      <w:r w:rsidRPr="00DF6CA0">
        <w:rPr>
          <w:bCs/>
          <w:lang w:val="en-GB"/>
        </w:rPr>
        <w:t>Reporting Templates</w:t>
      </w:r>
      <w:r w:rsidR="00713EED" w:rsidRPr="00DF6CA0">
        <w:rPr>
          <w:bCs/>
          <w:lang w:val="en-GB"/>
        </w:rPr>
        <w:t xml:space="preserve"> are in accordance with instructions issued by </w:t>
      </w:r>
      <w:r w:rsidR="00D728EE" w:rsidRPr="00DF6CA0">
        <w:rPr>
          <w:bCs/>
          <w:lang w:val="en-GB"/>
        </w:rPr>
        <w:t>L</w:t>
      </w:r>
      <w:r w:rsidR="00713EED" w:rsidRPr="00DF6CA0">
        <w:rPr>
          <w:bCs/>
          <w:lang w:val="en-GB"/>
        </w:rPr>
        <w:t>EITI, are complete and are in agreement with the accounts of gover</w:t>
      </w:r>
      <w:r w:rsidRPr="00DF6CA0">
        <w:rPr>
          <w:bCs/>
          <w:lang w:val="en-GB"/>
        </w:rPr>
        <w:t>nment for the 2012</w:t>
      </w:r>
      <w:r w:rsidR="00D728EE" w:rsidRPr="00DF6CA0">
        <w:rPr>
          <w:bCs/>
          <w:lang w:val="en-GB"/>
        </w:rPr>
        <w:t>-</w:t>
      </w:r>
      <w:r w:rsidRPr="00DF6CA0">
        <w:rPr>
          <w:bCs/>
          <w:lang w:val="en-GB"/>
        </w:rPr>
        <w:t>2013</w:t>
      </w:r>
      <w:r w:rsidR="00713EED" w:rsidRPr="00DF6CA0">
        <w:rPr>
          <w:bCs/>
          <w:lang w:val="en-GB"/>
        </w:rPr>
        <w:t xml:space="preserve"> period</w:t>
      </w:r>
      <w:r w:rsidR="00B971F8" w:rsidRPr="00DF6CA0">
        <w:rPr>
          <w:bCs/>
          <w:lang w:val="en-GB"/>
        </w:rPr>
        <w:t>s</w:t>
      </w:r>
      <w:r w:rsidR="00713EED" w:rsidRPr="00DF6CA0">
        <w:rPr>
          <w:bCs/>
          <w:lang w:val="en-GB"/>
        </w:rPr>
        <w:t>.</w:t>
      </w:r>
    </w:p>
    <w:p w:rsidR="00B971F8" w:rsidRPr="00DF6CA0" w:rsidRDefault="00B971F8" w:rsidP="000223B1">
      <w:pPr>
        <w:numPr>
          <w:ilvl w:val="0"/>
          <w:numId w:val="11"/>
        </w:numPr>
        <w:spacing w:after="120"/>
        <w:ind w:left="284" w:hanging="284"/>
        <w:jc w:val="both"/>
        <w:rPr>
          <w:bCs/>
          <w:lang w:val="en-GB"/>
        </w:rPr>
      </w:pPr>
      <w:r w:rsidRPr="00DF6CA0">
        <w:rPr>
          <w:bCs/>
          <w:lang w:val="en-GB"/>
        </w:rPr>
        <w:t xml:space="preserve">Extractive companies are </w:t>
      </w:r>
      <w:r w:rsidR="0030267F" w:rsidRPr="00DF6CA0">
        <w:rPr>
          <w:bCs/>
          <w:lang w:val="en-GB"/>
        </w:rPr>
        <w:t>required to send their</w:t>
      </w:r>
      <w:r w:rsidRPr="00DF6CA0">
        <w:rPr>
          <w:bCs/>
          <w:lang w:val="en-GB"/>
        </w:rPr>
        <w:t xml:space="preserve"> audited financial statements for the year</w:t>
      </w:r>
      <w:r w:rsidR="00D728EE" w:rsidRPr="00DF6CA0">
        <w:rPr>
          <w:bCs/>
          <w:lang w:val="en-GB"/>
        </w:rPr>
        <w:t xml:space="preserve"> 2013</w:t>
      </w:r>
      <w:r w:rsidRPr="00DF6CA0">
        <w:rPr>
          <w:bCs/>
          <w:lang w:val="en-GB"/>
        </w:rPr>
        <w:t>.</w:t>
      </w:r>
    </w:p>
    <w:p w:rsidR="00D728EE" w:rsidRPr="00DF6CA0" w:rsidRDefault="00713EED" w:rsidP="000223B1">
      <w:pPr>
        <w:numPr>
          <w:ilvl w:val="0"/>
          <w:numId w:val="11"/>
        </w:numPr>
        <w:spacing w:after="120"/>
        <w:ind w:left="284" w:hanging="284"/>
        <w:jc w:val="both"/>
        <w:rPr>
          <w:bCs/>
          <w:lang w:val="en-GB"/>
        </w:rPr>
      </w:pPr>
      <w:r w:rsidRPr="00DF6CA0">
        <w:rPr>
          <w:bCs/>
          <w:lang w:val="en-GB"/>
        </w:rPr>
        <w:t xml:space="preserve">The Auditor General </w:t>
      </w:r>
      <w:r w:rsidR="00D416DA" w:rsidRPr="00DF6CA0">
        <w:rPr>
          <w:bCs/>
          <w:lang w:val="en-GB"/>
        </w:rPr>
        <w:t xml:space="preserve">is </w:t>
      </w:r>
      <w:r w:rsidRPr="00DF6CA0">
        <w:rPr>
          <w:bCs/>
          <w:lang w:val="en-GB"/>
        </w:rPr>
        <w:t xml:space="preserve">required to </w:t>
      </w:r>
      <w:r w:rsidR="00D728EE" w:rsidRPr="00DF6CA0">
        <w:rPr>
          <w:bCs/>
          <w:lang w:val="en-GB"/>
        </w:rPr>
        <w:t>carry out agreed upon procedures under international standards.</w:t>
      </w:r>
    </w:p>
    <w:p w:rsidR="00D728EE" w:rsidRPr="00DF6CA0" w:rsidRDefault="00D728EE" w:rsidP="00D728EE">
      <w:pPr>
        <w:rPr>
          <w:lang w:val="en-GB"/>
        </w:rPr>
      </w:pPr>
      <w:r w:rsidRPr="00DF6CA0">
        <w:rPr>
          <w:lang w:val="en-GB"/>
        </w:rPr>
        <w:br w:type="page"/>
      </w:r>
    </w:p>
    <w:p w:rsidR="00713EED" w:rsidRPr="00DF6CA0" w:rsidRDefault="00713EED" w:rsidP="00D728EE">
      <w:pPr>
        <w:jc w:val="both"/>
        <w:rPr>
          <w:lang w:val="en-GB"/>
        </w:rPr>
      </w:pPr>
    </w:p>
    <w:p w:rsidR="00785BD2" w:rsidRPr="00DF6CA0" w:rsidRDefault="008F02ED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ind w:left="357" w:hanging="357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A</w:t>
      </w:r>
      <w:r w:rsidR="00785BD2"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ccounting</w:t>
      </w: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 xml:space="preserve"> records</w:t>
      </w:r>
    </w:p>
    <w:p w:rsidR="00785BD2" w:rsidRPr="00DF6CA0" w:rsidRDefault="009208D1" w:rsidP="00B04658">
      <w:pPr>
        <w:pStyle w:val="Heading2"/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>Extractive</w:t>
      </w:r>
      <w:r w:rsidR="003A265D" w:rsidRPr="00DF6CA0">
        <w:rPr>
          <w:color w:val="0070C0"/>
        </w:rPr>
        <w:t xml:space="preserve"> </w:t>
      </w:r>
      <w:r w:rsidR="0017364D" w:rsidRPr="00DF6CA0">
        <w:rPr>
          <w:color w:val="0070C0"/>
        </w:rPr>
        <w:t>companies</w:t>
      </w:r>
    </w:p>
    <w:p w:rsidR="00785BD2" w:rsidRPr="00DF6CA0" w:rsidRDefault="009208D1" w:rsidP="00345B04">
      <w:pPr>
        <w:spacing w:after="240"/>
        <w:jc w:val="both"/>
        <w:rPr>
          <w:lang w:val="en-GB"/>
        </w:rPr>
      </w:pPr>
      <w:r w:rsidRPr="00DF6CA0">
        <w:rPr>
          <w:lang w:val="en-GB"/>
        </w:rPr>
        <w:t>Extractive</w:t>
      </w:r>
      <w:r w:rsidR="00345B04" w:rsidRPr="00DF6CA0">
        <w:rPr>
          <w:lang w:val="en-GB"/>
        </w:rPr>
        <w:t xml:space="preserve"> companies</w:t>
      </w:r>
      <w:r w:rsidR="0017364D" w:rsidRPr="00DF6CA0">
        <w:rPr>
          <w:lang w:val="en-GB"/>
        </w:rPr>
        <w:t xml:space="preserve"> normally prepare their accounting records on accrual basis, i.e. the tax expense is recognised at the time it is due rather than the time when it is paid. </w:t>
      </w:r>
      <w:r w:rsidR="00135D81" w:rsidRPr="00DF6CA0">
        <w:rPr>
          <w:lang w:val="en-GB"/>
        </w:rPr>
        <w:t xml:space="preserve">Only amounts actually paid during the period </w:t>
      </w:r>
      <w:r w:rsidR="00345B04" w:rsidRPr="00DF6CA0">
        <w:rPr>
          <w:lang w:val="en-GB"/>
        </w:rPr>
        <w:t xml:space="preserve">from </w:t>
      </w:r>
      <w:r w:rsidR="00135D81" w:rsidRPr="00DF6CA0">
        <w:rPr>
          <w:lang w:val="en-GB"/>
        </w:rPr>
        <w:t xml:space="preserve">1 </w:t>
      </w:r>
      <w:r w:rsidRPr="00DF6CA0">
        <w:rPr>
          <w:lang w:val="en-GB"/>
        </w:rPr>
        <w:t>July 2012</w:t>
      </w:r>
      <w:r w:rsidR="00135D81" w:rsidRPr="00DF6CA0">
        <w:rPr>
          <w:lang w:val="en-GB"/>
        </w:rPr>
        <w:t xml:space="preserve"> to 3</w:t>
      </w:r>
      <w:r w:rsidRPr="00DF6CA0">
        <w:rPr>
          <w:lang w:val="en-GB"/>
        </w:rPr>
        <w:t xml:space="preserve">0 June </w:t>
      </w:r>
      <w:r w:rsidR="00B971F8" w:rsidRPr="00DF6CA0">
        <w:rPr>
          <w:lang w:val="en-GB"/>
        </w:rPr>
        <w:t>2013</w:t>
      </w:r>
      <w:r w:rsidR="00345B04" w:rsidRPr="00DF6CA0">
        <w:rPr>
          <w:lang w:val="en-GB"/>
        </w:rPr>
        <w:t xml:space="preserve"> should be included i</w:t>
      </w:r>
      <w:r w:rsidR="00135D81" w:rsidRPr="00DF6CA0">
        <w:rPr>
          <w:lang w:val="en-GB"/>
        </w:rPr>
        <w:t>n the template.</w:t>
      </w:r>
    </w:p>
    <w:p w:rsidR="008F02ED" w:rsidRPr="00DF6CA0" w:rsidRDefault="00785BD2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t xml:space="preserve">As </w:t>
      </w:r>
      <w:r w:rsidR="009208D1" w:rsidRPr="00DF6CA0">
        <w:rPr>
          <w:lang w:val="en-GB"/>
        </w:rPr>
        <w:t>extractive</w:t>
      </w:r>
      <w:r w:rsidR="003A265D" w:rsidRPr="00DF6CA0">
        <w:rPr>
          <w:lang w:val="en-GB"/>
        </w:rPr>
        <w:t xml:space="preserve"> </w:t>
      </w:r>
      <w:r w:rsidR="0017364D" w:rsidRPr="00DF6CA0">
        <w:rPr>
          <w:lang w:val="en-GB"/>
        </w:rPr>
        <w:t>companies</w:t>
      </w:r>
      <w:r w:rsidRPr="00DF6CA0">
        <w:rPr>
          <w:lang w:val="en-GB"/>
        </w:rPr>
        <w:t xml:space="preserve"> may not have individual ledger accounts </w:t>
      </w:r>
      <w:r w:rsidR="00A57E4E" w:rsidRPr="00DF6CA0">
        <w:rPr>
          <w:lang w:val="en-GB"/>
        </w:rPr>
        <w:t xml:space="preserve">set </w:t>
      </w:r>
      <w:r w:rsidRPr="00DF6CA0">
        <w:rPr>
          <w:lang w:val="en-GB"/>
        </w:rPr>
        <w:t xml:space="preserve">for each of the taxes identified on the </w:t>
      </w:r>
      <w:r w:rsidR="00B971F8" w:rsidRPr="00DF6CA0">
        <w:rPr>
          <w:lang w:val="en-GB" w:bidi="ar-TN"/>
        </w:rPr>
        <w:t>“</w:t>
      </w:r>
      <w:hyperlink r:id="rId18" w:history="1">
        <w:r w:rsidR="00B971F8" w:rsidRPr="00DF6CA0">
          <w:rPr>
            <w:lang w:val="en-GB" w:eastAsia="fr-FR"/>
          </w:rPr>
          <w:t xml:space="preserve">Payment/Receipt </w:t>
        </w:r>
        <w:r w:rsidR="009208D1" w:rsidRPr="00DF6CA0">
          <w:rPr>
            <w:lang w:val="en-GB" w:eastAsia="fr-FR"/>
          </w:rPr>
          <w:t>Report</w:t>
        </w:r>
      </w:hyperlink>
      <w:r w:rsidR="00B971F8" w:rsidRPr="00DF6CA0">
        <w:rPr>
          <w:lang w:val="en-GB" w:eastAsia="fr-FR"/>
        </w:rPr>
        <w:t>”</w:t>
      </w:r>
      <w:r w:rsidRPr="00DF6CA0">
        <w:rPr>
          <w:lang w:val="en-GB"/>
        </w:rPr>
        <w:t>, it may be necessary to split out or even to aggregate one or more ledger accounts</w:t>
      </w:r>
      <w:r w:rsidR="00BC5C87" w:rsidRPr="00DF6CA0">
        <w:rPr>
          <w:lang w:val="en-GB"/>
        </w:rPr>
        <w:t xml:space="preserve"> in order to arrive at the correct figure to be inserted on the </w:t>
      </w:r>
      <w:r w:rsidR="00B971F8" w:rsidRPr="00DF6CA0">
        <w:rPr>
          <w:lang w:val="en-GB" w:bidi="ar-TN"/>
        </w:rPr>
        <w:t>“</w:t>
      </w:r>
      <w:hyperlink r:id="rId19" w:history="1">
        <w:r w:rsidR="00B971F8" w:rsidRPr="00DF6CA0">
          <w:rPr>
            <w:lang w:val="en-GB" w:eastAsia="fr-FR"/>
          </w:rPr>
          <w:t xml:space="preserve">Payment/Receipt </w:t>
        </w:r>
      </w:hyperlink>
      <w:r w:rsidR="009208D1" w:rsidRPr="00DF6CA0">
        <w:rPr>
          <w:lang w:val="en-GB" w:eastAsia="fr-FR"/>
        </w:rPr>
        <w:t>Report</w:t>
      </w:r>
      <w:r w:rsidR="00B971F8" w:rsidRPr="00DF6CA0">
        <w:rPr>
          <w:lang w:val="en-GB" w:eastAsia="fr-FR"/>
        </w:rPr>
        <w:t>”</w:t>
      </w:r>
      <w:r w:rsidR="00BC5C87" w:rsidRPr="00DF6CA0">
        <w:rPr>
          <w:lang w:val="en-GB"/>
        </w:rPr>
        <w:t>.</w:t>
      </w:r>
    </w:p>
    <w:p w:rsidR="00785BD2" w:rsidRPr="00DF6CA0" w:rsidRDefault="00A57E4E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t>A review could also be carried out to ensure that all regular payments e.g. monthly salary withholdings are accounted for and that no months are missing.</w:t>
      </w:r>
    </w:p>
    <w:p w:rsidR="00B91CD4" w:rsidRPr="00DF6CA0" w:rsidRDefault="008F02ED" w:rsidP="00B04658">
      <w:pPr>
        <w:pStyle w:val="Heading2"/>
        <w:shd w:val="clear" w:color="auto" w:fill="auto"/>
        <w:tabs>
          <w:tab w:val="clear" w:pos="432"/>
          <w:tab w:val="clear" w:pos="480"/>
          <w:tab w:val="num" w:pos="567"/>
        </w:tabs>
        <w:ind w:left="567" w:hanging="567"/>
        <w:rPr>
          <w:color w:val="0070C0"/>
        </w:rPr>
      </w:pPr>
      <w:r w:rsidRPr="00DF6CA0">
        <w:rPr>
          <w:color w:val="0070C0"/>
        </w:rPr>
        <w:t>Government</w:t>
      </w:r>
      <w:r w:rsidR="007179AB" w:rsidRPr="00DF6CA0">
        <w:rPr>
          <w:color w:val="0070C0"/>
        </w:rPr>
        <w:t xml:space="preserve"> agencies</w:t>
      </w:r>
    </w:p>
    <w:p w:rsidR="00A57E4E" w:rsidRPr="00DF6CA0" w:rsidRDefault="00B971F8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t>In respect of Government A</w:t>
      </w:r>
      <w:r w:rsidR="00A57E4E" w:rsidRPr="00DF6CA0">
        <w:rPr>
          <w:lang w:val="en-GB"/>
        </w:rPr>
        <w:t xml:space="preserve">gencies, </w:t>
      </w:r>
      <w:r w:rsidR="00837B28" w:rsidRPr="00DF6CA0">
        <w:rPr>
          <w:lang w:val="en-GB"/>
        </w:rPr>
        <w:t>c</w:t>
      </w:r>
      <w:r w:rsidR="00A57E4E" w:rsidRPr="00DF6CA0">
        <w:rPr>
          <w:lang w:val="en-GB"/>
        </w:rPr>
        <w:t xml:space="preserve">are should be taken to ensure that amounts shown on the </w:t>
      </w:r>
      <w:r w:rsidRPr="00DF6CA0">
        <w:rPr>
          <w:lang w:val="en-GB"/>
        </w:rPr>
        <w:t>“</w:t>
      </w:r>
      <w:hyperlink r:id="rId20" w:history="1">
        <w:r w:rsidRPr="00DF6CA0">
          <w:rPr>
            <w:lang w:val="en-GB"/>
          </w:rPr>
          <w:t xml:space="preserve">Payment/Receipt </w:t>
        </w:r>
        <w:r w:rsidR="009208D1" w:rsidRPr="00DF6CA0">
          <w:rPr>
            <w:lang w:val="en-GB"/>
          </w:rPr>
          <w:t>Report</w:t>
        </w:r>
      </w:hyperlink>
      <w:r w:rsidRPr="00DF6CA0">
        <w:rPr>
          <w:lang w:val="en-GB"/>
        </w:rPr>
        <w:t>”</w:t>
      </w:r>
      <w:r w:rsidR="00A57E4E" w:rsidRPr="00DF6CA0">
        <w:rPr>
          <w:lang w:val="en-GB"/>
        </w:rPr>
        <w:t xml:space="preserve"> include all receipts during </w:t>
      </w:r>
      <w:r w:rsidR="009208D1" w:rsidRPr="00DF6CA0">
        <w:rPr>
          <w:lang w:val="en-GB"/>
        </w:rPr>
        <w:t>2012-</w:t>
      </w:r>
      <w:r w:rsidRPr="00DF6CA0">
        <w:rPr>
          <w:lang w:val="en-GB"/>
        </w:rPr>
        <w:t>2013</w:t>
      </w:r>
      <w:r w:rsidR="00A57E4E" w:rsidRPr="00DF6CA0">
        <w:rPr>
          <w:lang w:val="en-GB"/>
        </w:rPr>
        <w:t xml:space="preserve"> financial year, irrespective of whether th</w:t>
      </w:r>
      <w:r w:rsidR="00345B04" w:rsidRPr="00DF6CA0">
        <w:rPr>
          <w:lang w:val="en-GB"/>
        </w:rPr>
        <w:t>e receipt was allocated in the a</w:t>
      </w:r>
      <w:r w:rsidR="00A57E4E" w:rsidRPr="00DF6CA0">
        <w:rPr>
          <w:lang w:val="en-GB"/>
        </w:rPr>
        <w:t xml:space="preserve">gencies records against amounts due in a previous or subsequent financial year. </w:t>
      </w:r>
    </w:p>
    <w:p w:rsidR="00713EED" w:rsidRPr="00DF6CA0" w:rsidRDefault="00713EED" w:rsidP="00902215">
      <w:pPr>
        <w:pStyle w:val="Heading1"/>
        <w:numPr>
          <w:ilvl w:val="0"/>
          <w:numId w:val="3"/>
        </w:numPr>
        <w:shd w:val="clear" w:color="auto" w:fill="1F4E79" w:themeFill="accent1" w:themeFillShade="80"/>
        <w:tabs>
          <w:tab w:val="left" w:pos="360"/>
        </w:tabs>
        <w:spacing w:before="0" w:after="240"/>
        <w:jc w:val="both"/>
        <w:rPr>
          <w:rFonts w:ascii="Arial" w:hAnsi="Arial" w:cs="Arial"/>
          <w:color w:val="FFFFFF"/>
          <w:sz w:val="24"/>
          <w:szCs w:val="24"/>
          <w:lang w:val="en-GB" w:bidi="ar-TN"/>
        </w:rPr>
      </w:pPr>
      <w:r w:rsidRPr="00DF6CA0">
        <w:rPr>
          <w:rFonts w:ascii="Arial" w:hAnsi="Arial" w:cs="Arial"/>
          <w:color w:val="FFFFFF"/>
          <w:sz w:val="24"/>
          <w:szCs w:val="24"/>
          <w:lang w:val="en-GB" w:bidi="ar-TN"/>
        </w:rPr>
        <w:t>Queries and Guidance regarding completion of templates</w:t>
      </w:r>
    </w:p>
    <w:p w:rsidR="00713EED" w:rsidRPr="00DF6CA0" w:rsidRDefault="00713EED" w:rsidP="00713EED">
      <w:pPr>
        <w:spacing w:after="240"/>
        <w:jc w:val="both"/>
        <w:rPr>
          <w:lang w:val="en-GB"/>
        </w:rPr>
      </w:pPr>
      <w:r w:rsidRPr="00DF6CA0">
        <w:rPr>
          <w:lang w:val="en-GB"/>
        </w:rPr>
        <w:t xml:space="preserve">Should any queries arise whilst completing the Templates clarification </w:t>
      </w:r>
      <w:r w:rsidR="009208D1" w:rsidRPr="00DF6CA0">
        <w:rPr>
          <w:lang w:val="en-GB"/>
        </w:rPr>
        <w:t xml:space="preserve">can be sought </w:t>
      </w:r>
      <w:r w:rsidRPr="00DF6CA0">
        <w:rPr>
          <w:lang w:val="en-GB"/>
        </w:rPr>
        <w:t xml:space="preserve">from </w:t>
      </w:r>
      <w:r w:rsidR="009208D1" w:rsidRPr="00DF6CA0">
        <w:rPr>
          <w:lang w:val="en-GB"/>
        </w:rPr>
        <w:t>the Reconciler</w:t>
      </w:r>
      <w:r w:rsidRPr="00DF6CA0">
        <w:rPr>
          <w:lang w:val="en-GB"/>
        </w:rPr>
        <w:t xml:space="preserve"> by emailing details of the query to </w:t>
      </w:r>
      <w:hyperlink r:id="rId21" w:history="1">
        <w:r w:rsidR="009208D1" w:rsidRPr="00DF6CA0">
          <w:rPr>
            <w:rStyle w:val="Hyperlink"/>
            <w:lang w:val="en-GB"/>
          </w:rPr>
          <w:t>leiti@moorestephens.com</w:t>
        </w:r>
      </w:hyperlink>
    </w:p>
    <w:p w:rsidR="007179AB" w:rsidRPr="00DF6CA0" w:rsidRDefault="007179AB" w:rsidP="00342B36">
      <w:pPr>
        <w:spacing w:after="240"/>
        <w:jc w:val="both"/>
        <w:rPr>
          <w:lang w:val="en-GB"/>
        </w:rPr>
      </w:pPr>
    </w:p>
    <w:p w:rsidR="000A2801" w:rsidRPr="00DF6CA0" w:rsidRDefault="000A2801" w:rsidP="00342B36">
      <w:pPr>
        <w:spacing w:after="240"/>
        <w:jc w:val="both"/>
        <w:rPr>
          <w:lang w:val="en-GB"/>
        </w:rPr>
      </w:pPr>
    </w:p>
    <w:p w:rsidR="00E328AC" w:rsidRPr="00DF6CA0" w:rsidRDefault="006D5E07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t>Moore Stephens</w:t>
      </w:r>
    </w:p>
    <w:p w:rsidR="00033DAE" w:rsidRPr="00DF6CA0" w:rsidRDefault="000A2801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t>L</w:t>
      </w:r>
      <w:r w:rsidR="006D5E07" w:rsidRPr="00DF6CA0">
        <w:rPr>
          <w:lang w:val="en-GB"/>
        </w:rPr>
        <w:t>EITI Reconciler</w:t>
      </w:r>
    </w:p>
    <w:p w:rsidR="007050B3" w:rsidRPr="00DF6CA0" w:rsidRDefault="00033DAE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br w:type="page"/>
      </w:r>
    </w:p>
    <w:p w:rsidR="009208D1" w:rsidRPr="00DF6CA0" w:rsidRDefault="009208D1" w:rsidP="009208D1">
      <w:pPr>
        <w:jc w:val="both"/>
        <w:rPr>
          <w:lang w:val="en-GB"/>
        </w:rPr>
      </w:pPr>
    </w:p>
    <w:p w:rsidR="006F4200" w:rsidRPr="00DF6CA0" w:rsidRDefault="00D1030C" w:rsidP="006F4200">
      <w:pPr>
        <w:shd w:val="clear" w:color="auto" w:fill="244061"/>
        <w:spacing w:after="240"/>
        <w:rPr>
          <w:b/>
          <w:bCs/>
          <w:sz w:val="24"/>
          <w:szCs w:val="24"/>
          <w:lang w:val="en-GB"/>
        </w:rPr>
      </w:pPr>
      <w:r w:rsidRPr="00DF6CA0">
        <w:rPr>
          <w:b/>
          <w:bCs/>
          <w:sz w:val="24"/>
          <w:szCs w:val="24"/>
          <w:lang w:val="en-GB"/>
        </w:rPr>
        <w:t xml:space="preserve">Annex </w:t>
      </w:r>
      <w:r w:rsidR="009208D1" w:rsidRPr="00DF6CA0">
        <w:rPr>
          <w:b/>
          <w:bCs/>
          <w:sz w:val="24"/>
          <w:szCs w:val="24"/>
          <w:lang w:val="en-GB"/>
        </w:rPr>
        <w:t>1</w:t>
      </w:r>
      <w:r w:rsidR="00375D8D" w:rsidRPr="00DF6CA0">
        <w:rPr>
          <w:b/>
          <w:bCs/>
          <w:sz w:val="24"/>
          <w:szCs w:val="24"/>
          <w:lang w:val="en-GB"/>
        </w:rPr>
        <w:t xml:space="preserve">: </w:t>
      </w:r>
      <w:r w:rsidR="009208D1" w:rsidRPr="00DF6CA0">
        <w:rPr>
          <w:b/>
          <w:bCs/>
          <w:sz w:val="24"/>
          <w:szCs w:val="24"/>
          <w:lang w:val="en-GB"/>
        </w:rPr>
        <w:t>Extractive</w:t>
      </w:r>
      <w:r w:rsidR="00375D8D" w:rsidRPr="00DF6CA0">
        <w:rPr>
          <w:b/>
          <w:bCs/>
          <w:sz w:val="24"/>
          <w:szCs w:val="24"/>
          <w:lang w:val="en-GB"/>
        </w:rPr>
        <w:t xml:space="preserve"> companies included in </w:t>
      </w:r>
      <w:r w:rsidR="00BB41AE" w:rsidRPr="00DF6CA0">
        <w:rPr>
          <w:b/>
          <w:bCs/>
          <w:sz w:val="24"/>
          <w:szCs w:val="24"/>
          <w:lang w:val="en-GB"/>
        </w:rPr>
        <w:t>6</w:t>
      </w:r>
      <w:r w:rsidR="00BB41AE" w:rsidRPr="00DF6CA0">
        <w:rPr>
          <w:b/>
          <w:bCs/>
          <w:sz w:val="24"/>
          <w:szCs w:val="24"/>
          <w:vertAlign w:val="superscript"/>
          <w:lang w:val="en-GB"/>
        </w:rPr>
        <w:t>th</w:t>
      </w:r>
      <w:r w:rsidR="00BB41AE" w:rsidRPr="00DF6CA0">
        <w:rPr>
          <w:b/>
          <w:bCs/>
          <w:sz w:val="24"/>
          <w:szCs w:val="24"/>
          <w:lang w:val="en-GB"/>
        </w:rPr>
        <w:t xml:space="preserve"> LEITI Report </w:t>
      </w:r>
      <w:r w:rsidR="006F4200" w:rsidRPr="00DF6CA0">
        <w:rPr>
          <w:b/>
          <w:bCs/>
          <w:sz w:val="24"/>
          <w:szCs w:val="24"/>
          <w:lang w:val="en-GB"/>
        </w:rPr>
        <w:t>(2012-2013)</w:t>
      </w:r>
    </w:p>
    <w:p w:rsidR="009208D1" w:rsidRPr="00DF6CA0" w:rsidRDefault="009208D1" w:rsidP="009208D1">
      <w:pPr>
        <w:jc w:val="both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520"/>
      </w:tblGrid>
      <w:tr w:rsidR="00BB41AE" w:rsidRPr="00DF6CA0" w:rsidTr="00BB41AE">
        <w:trPr>
          <w:tblHeader/>
        </w:trPr>
        <w:tc>
          <w:tcPr>
            <w:tcW w:w="426" w:type="dxa"/>
            <w:tcBorders>
              <w:bottom w:val="single" w:sz="12" w:space="0" w:color="5B9BD5" w:themeColor="accent1"/>
            </w:tcBorders>
            <w:shd w:val="clear" w:color="000000" w:fill="244062"/>
          </w:tcPr>
          <w:p w:rsidR="00BB41AE" w:rsidRPr="00DF6CA0" w:rsidRDefault="00BB41AE" w:rsidP="00A663E4">
            <w:pPr>
              <w:spacing w:before="40" w:after="40"/>
              <w:jc w:val="center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DF6CA0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No.</w:t>
            </w:r>
          </w:p>
        </w:tc>
        <w:tc>
          <w:tcPr>
            <w:tcW w:w="6520" w:type="dxa"/>
            <w:tcBorders>
              <w:bottom w:val="single" w:sz="12" w:space="0" w:color="5B9BD5" w:themeColor="accent1"/>
            </w:tcBorders>
            <w:shd w:val="clear" w:color="000000" w:fill="244062"/>
            <w:noWrap/>
            <w:vAlign w:val="center"/>
            <w:hideMark/>
          </w:tcPr>
          <w:p w:rsidR="00BB41AE" w:rsidRPr="00DF6CA0" w:rsidRDefault="00BB41AE" w:rsidP="00A663E4">
            <w:pPr>
              <w:spacing w:before="40" w:after="40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DF6CA0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Company</w:t>
            </w:r>
          </w:p>
        </w:tc>
      </w:tr>
      <w:tr w:rsidR="00BB41AE" w:rsidRPr="00DF6CA0" w:rsidTr="00BB41AE">
        <w:tc>
          <w:tcPr>
            <w:tcW w:w="6946" w:type="dxa"/>
            <w:gridSpan w:val="2"/>
            <w:tcBorders>
              <w:top w:val="single" w:sz="12" w:space="0" w:color="5B9BD5" w:themeColor="accent1"/>
            </w:tcBorders>
            <w:shd w:val="clear" w:color="auto" w:fill="BFBFBF" w:themeFill="background1" w:themeFillShade="BF"/>
          </w:tcPr>
          <w:p w:rsidR="00BB41AE" w:rsidRPr="00DF6CA0" w:rsidRDefault="00BB41AE" w:rsidP="00A663E4">
            <w:pPr>
              <w:spacing w:before="20" w:after="20"/>
              <w:rPr>
                <w:b/>
                <w:i/>
                <w:sz w:val="16"/>
                <w:szCs w:val="16"/>
                <w:u w:val="single"/>
                <w:lang w:val="en-GB" w:eastAsia="fr-FR"/>
              </w:rPr>
            </w:pPr>
            <w:r w:rsidRPr="00DF6CA0">
              <w:rPr>
                <w:b/>
                <w:i/>
                <w:sz w:val="16"/>
                <w:szCs w:val="16"/>
                <w:u w:val="single"/>
                <w:lang w:val="en-GB" w:eastAsia="fr-FR"/>
              </w:rPr>
              <w:t>Oil &amp; Gas</w:t>
            </w:r>
          </w:p>
        </w:tc>
      </w:tr>
      <w:tr w:rsidR="00BB41AE" w:rsidRPr="00DF6CA0" w:rsidTr="00BB41AE">
        <w:tc>
          <w:tcPr>
            <w:tcW w:w="426" w:type="dxa"/>
            <w:shd w:val="clear" w:color="auto" w:fill="BDD6EE" w:themeFill="accent1" w:themeFillTint="66"/>
          </w:tcPr>
          <w:p w:rsidR="00BB41AE" w:rsidRPr="00DF6CA0" w:rsidRDefault="00BB41AE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  <w:hideMark/>
          </w:tcPr>
          <w:p w:rsidR="00BB41AE" w:rsidRPr="00DF6CA0" w:rsidRDefault="00BB41AE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Anadarko Liberia Ltd</w:t>
            </w:r>
          </w:p>
        </w:tc>
      </w:tr>
      <w:tr w:rsidR="00BB41AE" w:rsidRPr="00DF6CA0" w:rsidTr="00BB41AE">
        <w:tc>
          <w:tcPr>
            <w:tcW w:w="426" w:type="dxa"/>
          </w:tcPr>
          <w:p w:rsidR="00BB41AE" w:rsidRPr="00DF6CA0" w:rsidRDefault="00BB41AE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B41AE" w:rsidRPr="00DF6CA0" w:rsidRDefault="00BB41AE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Repsol</w:t>
            </w:r>
          </w:p>
        </w:tc>
      </w:tr>
      <w:tr w:rsidR="00BB41AE" w:rsidRPr="00DF6CA0" w:rsidTr="00BB41AE">
        <w:tc>
          <w:tcPr>
            <w:tcW w:w="426" w:type="dxa"/>
            <w:shd w:val="clear" w:color="auto" w:fill="BDD6EE" w:themeFill="accent1" w:themeFillTint="66"/>
          </w:tcPr>
          <w:p w:rsidR="00BB41AE" w:rsidRPr="00DF6CA0" w:rsidRDefault="00BB41AE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  <w:hideMark/>
          </w:tcPr>
          <w:p w:rsidR="00BB41AE" w:rsidRPr="00DF6CA0" w:rsidRDefault="00BB41AE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Chevron Liberia Ltd</w:t>
            </w:r>
          </w:p>
        </w:tc>
      </w:tr>
      <w:tr w:rsidR="00BB41AE" w:rsidRPr="00DF6CA0" w:rsidTr="00BB41AE">
        <w:tc>
          <w:tcPr>
            <w:tcW w:w="426" w:type="dxa"/>
          </w:tcPr>
          <w:p w:rsidR="00BB41AE" w:rsidRPr="00DF6CA0" w:rsidRDefault="00BB41AE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BB41AE" w:rsidRPr="00DF6CA0" w:rsidRDefault="00BB41AE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European Hydrocarbon Limited (EHL)</w:t>
            </w:r>
          </w:p>
        </w:tc>
      </w:tr>
      <w:tr w:rsidR="00BB41AE" w:rsidRPr="00DF6CA0" w:rsidTr="00A663E4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BB41AE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BB41AE" w:rsidRPr="00DF6CA0" w:rsidRDefault="00BB41AE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African Petroleum Liberia Ltd</w:t>
            </w:r>
          </w:p>
        </w:tc>
      </w:tr>
      <w:tr w:rsidR="00BB41AE" w:rsidRPr="00DF6CA0" w:rsidTr="00BB41AE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E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1AE" w:rsidRPr="00DF6CA0" w:rsidRDefault="00BB41AE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Canadian Overseas Petroleum</w:t>
            </w:r>
          </w:p>
        </w:tc>
      </w:tr>
      <w:tr w:rsidR="00BB41AE" w:rsidRPr="00DF6CA0" w:rsidTr="00A663E4">
        <w:trPr>
          <w:trHeight w:val="22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BB41AE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  <w:hideMark/>
          </w:tcPr>
          <w:p w:rsidR="00BB41AE" w:rsidRPr="00DF6CA0" w:rsidRDefault="00BB41AE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Exxon Mobil</w:t>
            </w:r>
          </w:p>
        </w:tc>
      </w:tr>
      <w:tr w:rsidR="00BB41AE" w:rsidRPr="00DF6CA0" w:rsidTr="00BB41AE">
        <w:tc>
          <w:tcPr>
            <w:tcW w:w="6946" w:type="dxa"/>
            <w:gridSpan w:val="2"/>
            <w:shd w:val="clear" w:color="auto" w:fill="BFBFBF" w:themeFill="background1" w:themeFillShade="BF"/>
          </w:tcPr>
          <w:p w:rsidR="00BB41AE" w:rsidRPr="00DF6CA0" w:rsidRDefault="00BB41AE" w:rsidP="00A663E4">
            <w:pPr>
              <w:spacing w:before="20" w:after="20"/>
              <w:rPr>
                <w:b/>
                <w:i/>
                <w:sz w:val="16"/>
                <w:szCs w:val="16"/>
                <w:u w:val="single"/>
                <w:lang w:val="en-GB" w:eastAsia="fr-FR"/>
              </w:rPr>
            </w:pPr>
            <w:r w:rsidRPr="00DF6CA0">
              <w:rPr>
                <w:b/>
                <w:i/>
                <w:sz w:val="16"/>
                <w:szCs w:val="16"/>
                <w:u w:val="single"/>
                <w:lang w:val="en-GB" w:eastAsia="fr-FR"/>
              </w:rPr>
              <w:t>Mining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China Union Investment Bong Mines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Western Cluster Limited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Boart Longyear Liberia Inc.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Bhp Billiton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Jonah Capital (BVI) Liberia Ltd.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Arcelor Mittal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Hummingbird Resources Inc.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Youssef Diamond Mining Co.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African Gold Mining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Middle Island Resources Liberia Ltd.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West African Resources Ltd.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Ascension Resources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West Peak Iron Ltd.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Biriman Gold Ltd.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Castlegem (Liberia) Ltd.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Bukon Jedeh Resources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Tietto Mineral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Gem Rock Mining Resources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PEDSAM Mining Corp.</w:t>
            </w:r>
          </w:p>
        </w:tc>
      </w:tr>
      <w:tr w:rsidR="00A663E4" w:rsidRPr="00DF6CA0" w:rsidTr="00BB41AE">
        <w:tc>
          <w:tcPr>
            <w:tcW w:w="426" w:type="dxa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Salmec Resources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Aforo Resources Liberia</w:t>
            </w:r>
          </w:p>
        </w:tc>
      </w:tr>
      <w:tr w:rsidR="00A663E4" w:rsidRPr="00DF6CA0" w:rsidTr="00A663E4">
        <w:tc>
          <w:tcPr>
            <w:tcW w:w="426" w:type="dxa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29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Voila International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Knights Group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Earthsource Mineral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Iron Resources Ltd.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BG Minerals Liberia Limited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Steinbock Minerals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Belle Resources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Putu Iron Mining Company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VBG Valle BSGR Liberia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Bea Mountain Mining Corporation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39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Konblo Bumi Incorporated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Royal Company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Southern Cross Investment Limited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Golden Mass Trading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Investment Development Corporation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Golden Vision Trading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Afric Diam Company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The Diamond Star Plus Inc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Trans-Atlantic Petroleum &amp; Oil Resources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48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Diamco Inc.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49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Thackett Mining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50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Amlib United Minerals, Inc.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lastRenderedPageBreak/>
              <w:t>51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Edasa Mining Company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Sinoe Mining &amp; Exploration Ltd.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Superior Mineral Resources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Sarama Mining Liberia Ltd.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West Africa Daimond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BCM International Liberia Ltd.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Global Mineral Investment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58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PEDSAM Mining Limited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59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Southern Cross International Ltd.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Treco Mining Company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Winestock Development Lib. Corp.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Planet Minerals Ltd.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Tawana Lib. Inc.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Archaen Gold Lib. Inc.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MNG Gold Additional Area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 Development Initiative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Ironbird Resources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Bao Chico Resources Liberia Ltd.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69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Z &amp; C Investment Company</w:t>
            </w:r>
          </w:p>
        </w:tc>
      </w:tr>
      <w:tr w:rsidR="00A663E4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70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West Africa Gold And Diamond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71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Bnk Mining Co.</w:t>
            </w:r>
          </w:p>
        </w:tc>
      </w:tr>
      <w:tr w:rsidR="00A663E4" w:rsidRPr="00DF6CA0" w:rsidTr="00BB41AE">
        <w:tc>
          <w:tcPr>
            <w:tcW w:w="6946" w:type="dxa"/>
            <w:gridSpan w:val="2"/>
            <w:shd w:val="clear" w:color="auto" w:fill="BFBFBF" w:themeFill="background1" w:themeFillShade="BF"/>
          </w:tcPr>
          <w:p w:rsidR="00A663E4" w:rsidRPr="00DF6CA0" w:rsidRDefault="00A663E4" w:rsidP="00A663E4">
            <w:pPr>
              <w:spacing w:before="20" w:after="20"/>
              <w:rPr>
                <w:b/>
                <w:i/>
                <w:sz w:val="16"/>
                <w:szCs w:val="16"/>
                <w:u w:val="single"/>
                <w:lang w:val="en-GB" w:eastAsia="fr-FR"/>
              </w:rPr>
            </w:pPr>
            <w:r w:rsidRPr="00DF6CA0">
              <w:rPr>
                <w:b/>
                <w:i/>
                <w:sz w:val="16"/>
                <w:szCs w:val="16"/>
                <w:u w:val="single"/>
                <w:lang w:val="en-GB" w:eastAsia="fr-FR"/>
              </w:rPr>
              <w:t>Agriculture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Firestone Liberia Incorporated</w:t>
            </w:r>
          </w:p>
        </w:tc>
      </w:tr>
      <w:tr w:rsidR="00A663E4" w:rsidRPr="00DF6CA0" w:rsidTr="00BB41AE">
        <w:tc>
          <w:tcPr>
            <w:tcW w:w="426" w:type="dxa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Liberian Agricultural Company (L.A.C.)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Sime Darby Plantation</w:t>
            </w:r>
          </w:p>
        </w:tc>
      </w:tr>
      <w:tr w:rsidR="00A663E4" w:rsidRPr="00DF6CA0" w:rsidTr="00BB41AE">
        <w:tc>
          <w:tcPr>
            <w:tcW w:w="426" w:type="dxa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Cavalla Rubber Corporation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76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Golden Veroleum Liberia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Liberia Forest Products Inc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78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The Lee Group Of Enterprise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79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Equatorial Palm Oil (Liberia) Incorporated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80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F6CA0">
              <w:rPr>
                <w:sz w:val="16"/>
                <w:szCs w:val="16"/>
                <w:lang w:val="en-GB"/>
              </w:rPr>
              <w:t>Salala Rubber Corporation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/>
              </w:rPr>
              <w:t>Libinc Oil Palm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82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F6CA0">
              <w:rPr>
                <w:sz w:val="16"/>
                <w:szCs w:val="16"/>
                <w:lang w:val="en-GB"/>
              </w:rPr>
              <w:t>The Liberia Company (LIBCO)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/>
              </w:rPr>
              <w:t>Morris American Rubber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84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DF6CA0">
              <w:rPr>
                <w:sz w:val="16"/>
                <w:szCs w:val="16"/>
                <w:lang w:val="en-GB"/>
              </w:rPr>
              <w:t>Maryland Oil Palm Plantation</w:t>
            </w:r>
          </w:p>
        </w:tc>
      </w:tr>
      <w:tr w:rsidR="00A663E4" w:rsidRPr="00DF6CA0" w:rsidTr="00CA28A9">
        <w:tc>
          <w:tcPr>
            <w:tcW w:w="426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85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 Agriculture Development Corporation</w:t>
            </w:r>
          </w:p>
        </w:tc>
      </w:tr>
      <w:tr w:rsidR="00A663E4" w:rsidRPr="00DF6CA0" w:rsidTr="00BB41AE">
        <w:tc>
          <w:tcPr>
            <w:tcW w:w="6946" w:type="dxa"/>
            <w:gridSpan w:val="2"/>
            <w:shd w:val="clear" w:color="auto" w:fill="BFBFBF" w:themeFill="background1" w:themeFillShade="BF"/>
          </w:tcPr>
          <w:p w:rsidR="00A663E4" w:rsidRPr="00DF6CA0" w:rsidRDefault="00A663E4" w:rsidP="00A663E4">
            <w:pPr>
              <w:spacing w:before="20" w:after="20"/>
              <w:rPr>
                <w:b/>
                <w:i/>
                <w:sz w:val="16"/>
                <w:szCs w:val="16"/>
                <w:u w:val="single"/>
                <w:lang w:val="en-GB" w:eastAsia="fr-FR"/>
              </w:rPr>
            </w:pPr>
            <w:r w:rsidRPr="00DF6CA0">
              <w:rPr>
                <w:b/>
                <w:i/>
                <w:sz w:val="16"/>
                <w:szCs w:val="16"/>
                <w:u w:val="single"/>
                <w:lang w:val="en-GB" w:eastAsia="fr-FR"/>
              </w:rPr>
              <w:t>Forestry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Atlantic Resources Ltd.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87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Alpha Logging &amp; Wood Processing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Mandra Forestry Liberia Ltd.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89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Mandra - LTTC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Forest Venture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91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Buchanan Renewable Energies(Fuel)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Akewa Group of Companies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93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ECOWOODS INC.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auto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Global Logging Company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95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Euro Liberia Logging</w:t>
            </w:r>
          </w:p>
        </w:tc>
      </w:tr>
      <w:tr w:rsidR="00A663E4" w:rsidRPr="00DF6CA0" w:rsidTr="00BB41AE">
        <w:tc>
          <w:tcPr>
            <w:tcW w:w="426" w:type="dxa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International Consultant Capital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97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Sun Yeun Corporation Ltd.</w:t>
            </w:r>
          </w:p>
        </w:tc>
      </w:tr>
      <w:tr w:rsidR="00A663E4" w:rsidRPr="00DF6CA0" w:rsidTr="00BB41AE">
        <w:tc>
          <w:tcPr>
            <w:tcW w:w="426" w:type="dxa"/>
          </w:tcPr>
          <w:p w:rsidR="00A663E4" w:rsidRPr="00DF6CA0" w:rsidRDefault="00A663E4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B&amp;V Timber</w:t>
            </w:r>
          </w:p>
        </w:tc>
      </w:tr>
      <w:tr w:rsidR="00A663E4" w:rsidRPr="00DF6CA0" w:rsidTr="00BB41AE">
        <w:tc>
          <w:tcPr>
            <w:tcW w:w="426" w:type="dxa"/>
            <w:shd w:val="clear" w:color="auto" w:fill="BDD6EE" w:themeFill="accent1" w:themeFillTint="66"/>
          </w:tcPr>
          <w:p w:rsidR="00A663E4" w:rsidRPr="00DF6CA0" w:rsidRDefault="00CA28A9" w:rsidP="00A663E4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99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A663E4" w:rsidRPr="00DF6CA0" w:rsidRDefault="00A663E4" w:rsidP="00A663E4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Universal Forestry Corporation</w:t>
            </w:r>
          </w:p>
        </w:tc>
      </w:tr>
      <w:tr w:rsidR="00CA28A9" w:rsidRPr="00DF6CA0" w:rsidTr="00BB41AE">
        <w:tc>
          <w:tcPr>
            <w:tcW w:w="426" w:type="dxa"/>
          </w:tcPr>
          <w:p w:rsidR="00CA28A9" w:rsidRPr="00DF6CA0" w:rsidRDefault="00CA28A9" w:rsidP="00CA28A9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100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Ecotimber Inc.</w:t>
            </w:r>
          </w:p>
        </w:tc>
      </w:tr>
      <w:tr w:rsidR="00CA28A9" w:rsidRPr="00DF6CA0" w:rsidTr="00BB41AE">
        <w:tc>
          <w:tcPr>
            <w:tcW w:w="426" w:type="dxa"/>
            <w:shd w:val="clear" w:color="auto" w:fill="BDD6EE" w:themeFill="accent1" w:themeFillTint="66"/>
          </w:tcPr>
          <w:p w:rsidR="00CA28A9" w:rsidRPr="00DF6CA0" w:rsidRDefault="00CA28A9" w:rsidP="00CA28A9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101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Geblo Logging</w:t>
            </w:r>
          </w:p>
        </w:tc>
      </w:tr>
      <w:tr w:rsidR="00CA28A9" w:rsidRPr="00DF6CA0" w:rsidTr="00BB41AE">
        <w:tc>
          <w:tcPr>
            <w:tcW w:w="426" w:type="dxa"/>
          </w:tcPr>
          <w:p w:rsidR="00CA28A9" w:rsidRPr="00DF6CA0" w:rsidRDefault="00CA28A9" w:rsidP="00CA28A9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102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20" w:after="20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t>E.J &amp; J Investment/Mandra Forestry</w:t>
            </w:r>
          </w:p>
        </w:tc>
      </w:tr>
      <w:tr w:rsidR="00CA28A9" w:rsidRPr="00DF6CA0" w:rsidTr="00DF6CA0">
        <w:tc>
          <w:tcPr>
            <w:tcW w:w="426" w:type="dxa"/>
            <w:shd w:val="clear" w:color="auto" w:fill="BDD6EE" w:themeFill="accent1" w:themeFillTint="66"/>
          </w:tcPr>
          <w:p w:rsidR="00CA28A9" w:rsidRPr="00DF6CA0" w:rsidRDefault="00CA28A9" w:rsidP="00CA28A9">
            <w:pPr>
              <w:spacing w:before="20" w:after="20"/>
              <w:jc w:val="center"/>
              <w:rPr>
                <w:sz w:val="16"/>
                <w:szCs w:val="16"/>
                <w:lang w:val="en-GB" w:eastAsia="fr-FR"/>
              </w:rPr>
            </w:pPr>
            <w:r w:rsidRPr="00DF6CA0">
              <w:rPr>
                <w:sz w:val="16"/>
                <w:szCs w:val="16"/>
                <w:lang w:val="en-GB" w:eastAsia="fr-FR"/>
              </w:rPr>
              <w:lastRenderedPageBreak/>
              <w:t>103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Cavalla Forest</w:t>
            </w:r>
          </w:p>
        </w:tc>
      </w:tr>
      <w:tr w:rsidR="00CA28A9" w:rsidRPr="00DF6CA0" w:rsidTr="00CA28A9">
        <w:tc>
          <w:tcPr>
            <w:tcW w:w="426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Liberian Hardwood</w:t>
            </w:r>
          </w:p>
        </w:tc>
      </w:tr>
      <w:tr w:rsidR="00CA28A9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105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ECO LOGGING</w:t>
            </w:r>
          </w:p>
        </w:tc>
      </w:tr>
      <w:tr w:rsidR="00CA28A9" w:rsidRPr="00DF6CA0" w:rsidTr="00CA28A9">
        <w:tc>
          <w:tcPr>
            <w:tcW w:w="426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Bargor &amp; Bargor Enterprise</w:t>
            </w:r>
          </w:p>
        </w:tc>
      </w:tr>
      <w:tr w:rsidR="00CA28A9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107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Tarpeh Timber Corporation</w:t>
            </w:r>
          </w:p>
        </w:tc>
      </w:tr>
      <w:tr w:rsidR="00CA28A9" w:rsidRPr="00DF6CA0" w:rsidTr="00CA28A9">
        <w:tc>
          <w:tcPr>
            <w:tcW w:w="426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TimberLib Inc.</w:t>
            </w:r>
          </w:p>
        </w:tc>
      </w:tr>
      <w:tr w:rsidR="00CA28A9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109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TROPICAL TIMBER</w:t>
            </w:r>
          </w:p>
        </w:tc>
      </w:tr>
      <w:tr w:rsidR="00CA28A9" w:rsidRPr="00DF6CA0" w:rsidTr="00CA28A9">
        <w:tc>
          <w:tcPr>
            <w:tcW w:w="426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110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Magna Diversified Corporation</w:t>
            </w:r>
          </w:p>
        </w:tc>
      </w:tr>
      <w:tr w:rsidR="00CA28A9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111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The Liberia Tree And Trading Corporation</w:t>
            </w:r>
          </w:p>
        </w:tc>
      </w:tr>
      <w:tr w:rsidR="00CA28A9" w:rsidRPr="00DF6CA0" w:rsidTr="00CA28A9">
        <w:tc>
          <w:tcPr>
            <w:tcW w:w="426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112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Omiejoe Group of Companies</w:t>
            </w:r>
          </w:p>
        </w:tc>
      </w:tr>
      <w:tr w:rsidR="00CA28A9" w:rsidRPr="00DF6CA0" w:rsidTr="00A663E4">
        <w:tc>
          <w:tcPr>
            <w:tcW w:w="426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113</w:t>
            </w:r>
          </w:p>
        </w:tc>
        <w:tc>
          <w:tcPr>
            <w:tcW w:w="6520" w:type="dxa"/>
            <w:shd w:val="clear" w:color="auto" w:fill="BDD6EE" w:themeFill="accent1" w:themeFillTint="66"/>
            <w:vAlign w:val="center"/>
          </w:tcPr>
          <w:p w:rsidR="00CA28A9" w:rsidRPr="00DF6CA0" w:rsidRDefault="00CA28A9" w:rsidP="00CA28A9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Quantum Resources Inc.</w:t>
            </w:r>
          </w:p>
        </w:tc>
      </w:tr>
    </w:tbl>
    <w:p w:rsidR="00BB41AE" w:rsidRPr="00DF6CA0" w:rsidRDefault="00BB41AE" w:rsidP="009208D1">
      <w:pPr>
        <w:jc w:val="both"/>
        <w:rPr>
          <w:lang w:val="en-GB"/>
        </w:rPr>
      </w:pPr>
    </w:p>
    <w:p w:rsidR="0013112F" w:rsidRPr="00DF6CA0" w:rsidRDefault="0013112F" w:rsidP="00342B36">
      <w:pPr>
        <w:spacing w:after="240"/>
        <w:jc w:val="both"/>
        <w:rPr>
          <w:lang w:val="en-GB"/>
        </w:rPr>
      </w:pPr>
      <w:r w:rsidRPr="00DF6CA0">
        <w:rPr>
          <w:lang w:val="en-GB"/>
        </w:rPr>
        <w:br w:type="page"/>
      </w:r>
    </w:p>
    <w:p w:rsidR="00674723" w:rsidRPr="00DF6CA0" w:rsidRDefault="00674723" w:rsidP="00674723">
      <w:pPr>
        <w:jc w:val="both"/>
        <w:rPr>
          <w:lang w:val="en-GB"/>
        </w:rPr>
      </w:pPr>
    </w:p>
    <w:p w:rsidR="0013112F" w:rsidRPr="00DF6CA0" w:rsidRDefault="00D1030C" w:rsidP="006F4200">
      <w:pPr>
        <w:shd w:val="clear" w:color="auto" w:fill="244061"/>
        <w:spacing w:after="240"/>
        <w:rPr>
          <w:b/>
          <w:bCs/>
          <w:sz w:val="24"/>
          <w:szCs w:val="24"/>
          <w:lang w:val="en-GB"/>
        </w:rPr>
      </w:pPr>
      <w:r w:rsidRPr="00DF6CA0">
        <w:rPr>
          <w:b/>
          <w:bCs/>
          <w:sz w:val="24"/>
          <w:szCs w:val="24"/>
          <w:lang w:val="en-GB"/>
        </w:rPr>
        <w:t xml:space="preserve">Annex </w:t>
      </w:r>
      <w:r w:rsidR="00674723" w:rsidRPr="00DF6CA0">
        <w:rPr>
          <w:b/>
          <w:bCs/>
          <w:sz w:val="24"/>
          <w:szCs w:val="24"/>
          <w:lang w:val="en-GB"/>
        </w:rPr>
        <w:t>2</w:t>
      </w:r>
      <w:r w:rsidR="0013112F" w:rsidRPr="00DF6CA0">
        <w:rPr>
          <w:b/>
          <w:bCs/>
          <w:sz w:val="24"/>
          <w:szCs w:val="24"/>
          <w:lang w:val="en-GB"/>
        </w:rPr>
        <w:t xml:space="preserve">: </w:t>
      </w:r>
      <w:r w:rsidR="006F4200" w:rsidRPr="00DF6CA0">
        <w:rPr>
          <w:b/>
          <w:bCs/>
          <w:sz w:val="24"/>
          <w:szCs w:val="24"/>
          <w:lang w:val="en-GB"/>
        </w:rPr>
        <w:t>Government Agencies included</w:t>
      </w:r>
      <w:r w:rsidR="00902215" w:rsidRPr="00DF6CA0">
        <w:rPr>
          <w:b/>
          <w:bCs/>
          <w:sz w:val="24"/>
          <w:szCs w:val="24"/>
          <w:lang w:val="en-GB"/>
        </w:rPr>
        <w:t xml:space="preserve"> in the reconciliation scope</w:t>
      </w:r>
    </w:p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</w:tblGrid>
      <w:tr w:rsidR="00674723" w:rsidRPr="00DF6CA0" w:rsidTr="00674723">
        <w:trPr>
          <w:trHeight w:val="97"/>
        </w:trPr>
        <w:tc>
          <w:tcPr>
            <w:tcW w:w="5954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000000" w:fill="244062"/>
            <w:vAlign w:val="center"/>
            <w:hideMark/>
          </w:tcPr>
          <w:p w:rsidR="00674723" w:rsidRPr="00DF6CA0" w:rsidRDefault="00674723" w:rsidP="00DF6CA0">
            <w:pPr>
              <w:spacing w:before="40" w:after="40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DF6CA0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Government Agency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 Revenue Authority - LRA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Ministry of Lands, Mines and Energy - MLME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Forestry Development Agency - FDA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National Port Authority - NPA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National Oil Company of Liberia NOCAL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Ministry of Agriculture - MoA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 Maritime Authority - LMA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Liberia Civil Aviation Authority - LCAA</w:t>
            </w:r>
          </w:p>
        </w:tc>
      </w:tr>
      <w:tr w:rsidR="00674723" w:rsidRPr="00DF6CA0" w:rsidTr="00674723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</w:tcPr>
          <w:p w:rsidR="00674723" w:rsidRPr="00DF6CA0" w:rsidRDefault="00674723" w:rsidP="00DF6CA0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Environmental Protection Agency - EPA</w:t>
            </w:r>
          </w:p>
        </w:tc>
      </w:tr>
    </w:tbl>
    <w:p w:rsidR="00A663E4" w:rsidRPr="00DF6CA0" w:rsidRDefault="00A663E4" w:rsidP="00674723">
      <w:pPr>
        <w:jc w:val="both"/>
        <w:rPr>
          <w:lang w:val="en-GB"/>
        </w:rPr>
      </w:pPr>
    </w:p>
    <w:p w:rsidR="0049402E" w:rsidRPr="00DF6CA0" w:rsidRDefault="0049402E">
      <w:pPr>
        <w:rPr>
          <w:lang w:val="en-GB"/>
        </w:rPr>
      </w:pPr>
      <w:r w:rsidRPr="00DF6CA0">
        <w:rPr>
          <w:lang w:val="en-GB"/>
        </w:rPr>
        <w:br w:type="page"/>
      </w:r>
    </w:p>
    <w:p w:rsidR="00674723" w:rsidRPr="00DF6CA0" w:rsidRDefault="00674723" w:rsidP="00674723">
      <w:pPr>
        <w:jc w:val="both"/>
        <w:rPr>
          <w:lang w:val="en-GB"/>
        </w:rPr>
      </w:pPr>
    </w:p>
    <w:p w:rsidR="0049402E" w:rsidRPr="00DF6CA0" w:rsidRDefault="0049402E" w:rsidP="0049402E">
      <w:pPr>
        <w:shd w:val="clear" w:color="auto" w:fill="244061"/>
        <w:spacing w:after="240"/>
        <w:rPr>
          <w:b/>
          <w:bCs/>
          <w:sz w:val="24"/>
          <w:szCs w:val="24"/>
          <w:lang w:val="en-GB"/>
        </w:rPr>
      </w:pPr>
      <w:r w:rsidRPr="00DF6CA0">
        <w:rPr>
          <w:b/>
          <w:bCs/>
          <w:sz w:val="24"/>
          <w:szCs w:val="24"/>
          <w:lang w:val="en-GB"/>
        </w:rPr>
        <w:t>Annex 3: Detailed list of payment streams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7257"/>
        <w:gridCol w:w="1572"/>
      </w:tblGrid>
      <w:tr w:rsidR="0049402E" w:rsidRPr="0049402E" w:rsidTr="00961EA2">
        <w:trPr>
          <w:cantSplit/>
          <w:trHeight w:val="450"/>
          <w:tblHeader/>
        </w:trPr>
        <w:tc>
          <w:tcPr>
            <w:tcW w:w="398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000000" w:fill="244062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49402E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No.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000000" w:fill="244062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49402E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Payment Flow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000000" w:fill="244062"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</w:pPr>
            <w:r w:rsidRPr="0049402E">
              <w:rPr>
                <w:b/>
                <w:bCs/>
                <w:color w:val="FFFFFF"/>
                <w:sz w:val="16"/>
                <w:szCs w:val="16"/>
                <w:lang w:val="en-GB" w:eastAsia="fr-FR"/>
              </w:rPr>
              <w:t>Government Agency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</w:t>
            </w:r>
          </w:p>
        </w:tc>
        <w:tc>
          <w:tcPr>
            <w:tcW w:w="7257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Signature Fees/Signing Bonus</w:t>
            </w:r>
          </w:p>
        </w:tc>
        <w:tc>
          <w:tcPr>
            <w:tcW w:w="1559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Corporate Profits Tax / Turnover Tax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DF6CA0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Personnel</w:t>
            </w:r>
            <w:r w:rsidR="0049402E" w:rsidRPr="0049402E">
              <w:rPr>
                <w:color w:val="000000"/>
                <w:sz w:val="16"/>
                <w:szCs w:val="16"/>
                <w:lang w:val="en-GB" w:eastAsia="fr-FR"/>
              </w:rPr>
              <w:t xml:space="preserve"> Income </w:t>
            </w:r>
            <w:r w:rsidRPr="0049402E">
              <w:rPr>
                <w:color w:val="000000"/>
                <w:sz w:val="16"/>
                <w:szCs w:val="16"/>
                <w:lang w:val="en-GB" w:eastAsia="fr-FR"/>
              </w:rPr>
              <w:t>Withholding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 xml:space="preserve">Non-Resident </w:t>
            </w:r>
            <w:r w:rsidR="00DF6CA0" w:rsidRPr="0049402E">
              <w:rPr>
                <w:color w:val="000000"/>
                <w:sz w:val="16"/>
                <w:szCs w:val="16"/>
                <w:lang w:val="en-GB" w:eastAsia="fr-FR"/>
              </w:rPr>
              <w:t>Withholding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 xml:space="preserve">Board Fees </w:t>
            </w:r>
            <w:r w:rsidR="00DF6CA0" w:rsidRPr="0049402E">
              <w:rPr>
                <w:color w:val="000000"/>
                <w:sz w:val="16"/>
                <w:szCs w:val="16"/>
                <w:lang w:val="en-GB" w:eastAsia="fr-FR"/>
              </w:rPr>
              <w:t>Withholding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6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DF6CA0" w:rsidRDefault="00DF6CA0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Withholding</w:t>
            </w:r>
            <w:r w:rsidR="0049402E" w:rsidRPr="0049402E">
              <w:rPr>
                <w:color w:val="000000"/>
                <w:sz w:val="16"/>
                <w:szCs w:val="16"/>
                <w:lang w:val="en-GB" w:eastAsia="fr-FR"/>
              </w:rPr>
              <w:t xml:space="preserve"> on Payments to Third Parties</w:t>
            </w:r>
          </w:p>
          <w:p w:rsidR="00DF6CA0" w:rsidRPr="00DF6CA0" w:rsidRDefault="00DF6CA0" w:rsidP="00DF6CA0">
            <w:pPr>
              <w:spacing w:before="40" w:after="40"/>
              <w:ind w:left="383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Include</w:t>
            </w:r>
          </w:p>
          <w:p w:rsidR="00DF6CA0" w:rsidRPr="00DF6CA0" w:rsidRDefault="00DF6CA0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(a)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Rent / Lease</w:t>
            </w:r>
          </w:p>
          <w:p w:rsidR="00DF6CA0" w:rsidRPr="00DF6CA0" w:rsidRDefault="00DF6CA0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(b)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Interest</w:t>
            </w:r>
          </w:p>
          <w:p w:rsidR="00DF6CA0" w:rsidRPr="00DF6CA0" w:rsidRDefault="00DF6CA0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(c)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Dividends</w:t>
            </w:r>
          </w:p>
          <w:p w:rsidR="00DF6CA0" w:rsidRPr="00DF6CA0" w:rsidRDefault="00DF6CA0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(d)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Professional services</w:t>
            </w:r>
          </w:p>
          <w:p w:rsidR="00DF6CA0" w:rsidRPr="0049402E" w:rsidRDefault="00DF6CA0" w:rsidP="00DF6CA0">
            <w:pPr>
              <w:tabs>
                <w:tab w:val="left" w:pos="1092"/>
              </w:tabs>
              <w:spacing w:before="40" w:after="40"/>
              <w:ind w:left="72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(e)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Contract Services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7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Annual Social Contribution (County &amp; Community)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8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Customs User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9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Contribution via GOL to University Depts (UL etc.)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10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ECOWAS Trade Levy (ETL)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Import Levy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GOL Fines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Work Permit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Vehicle Registration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Resident Permit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16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DF6CA0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Other administrative fees</w:t>
            </w:r>
          </w:p>
          <w:p w:rsidR="00BE510A" w:rsidRPr="00DF6CA0" w:rsidRDefault="00DF6CA0" w:rsidP="00DF6CA0">
            <w:pPr>
              <w:spacing w:before="40" w:after="40"/>
              <w:ind w:left="383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>Include: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(a)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 xml:space="preserve">Business Registration 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(b)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Article of Incorporation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(c)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Operational / Professional License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(d)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Vehicle Registration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(e)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Resident Permits</w:t>
            </w:r>
          </w:p>
          <w:p w:rsidR="00BE510A" w:rsidRPr="00DF6CA0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(f)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Fire Certificate</w:t>
            </w:r>
          </w:p>
          <w:p w:rsidR="00BE510A" w:rsidRDefault="00BE510A" w:rsidP="00DF6C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(g)</w:t>
            </w:r>
            <w:r w:rsidRPr="00DF6C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BE510A">
              <w:rPr>
                <w:i/>
                <w:color w:val="000000"/>
                <w:sz w:val="16"/>
                <w:szCs w:val="16"/>
                <w:lang w:val="en-GB" w:eastAsia="fr-FR"/>
              </w:rPr>
              <w:t>Work Permits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(h)</w:t>
            </w: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GIS Map(s)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(i)</w:t>
            </w: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ID cards fees / LTA fees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(j)</w:t>
            </w: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Survey Fees</w:t>
            </w:r>
          </w:p>
          <w:p w:rsidR="00E764A0" w:rsidRPr="0049402E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color w:val="000000"/>
                <w:sz w:val="16"/>
                <w:szCs w:val="16"/>
                <w:lang w:val="en-GB" w:eastAsia="fr-FR"/>
              </w:rPr>
            </w:pP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(Others)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All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17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Pre-Shipment / Destination Inspection (GOL's share)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18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GST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19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Dividends to GOL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LRA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20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Surface Rental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MLME/MoA/NOCAL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Royalty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MLME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Minerals License fees</w:t>
            </w:r>
          </w:p>
          <w:p w:rsidR="00E764A0" w:rsidRPr="00E764A0" w:rsidRDefault="00E764A0" w:rsidP="00E764A0">
            <w:pPr>
              <w:spacing w:before="40" w:after="40"/>
              <w:ind w:left="383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Include</w:t>
            </w: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: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(a)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Class (A, B, C) License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(b)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Broker License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(c)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</w:r>
            <w:r>
              <w:rPr>
                <w:i/>
                <w:color w:val="000000"/>
                <w:sz w:val="16"/>
                <w:szCs w:val="16"/>
                <w:lang w:val="en-GB" w:eastAsia="fr-FR"/>
              </w:rPr>
              <w:t>Dealer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 xml:space="preserve"> License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(d)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Fine Precious Mineral License</w:t>
            </w:r>
          </w:p>
          <w:p w:rsidR="00E764A0" w:rsidRPr="00E764A0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i/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(e)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Exploration License Fees</w:t>
            </w:r>
          </w:p>
          <w:p w:rsidR="00E764A0" w:rsidRPr="0049402E" w:rsidRDefault="00E764A0" w:rsidP="00E764A0">
            <w:pPr>
              <w:tabs>
                <w:tab w:val="left" w:pos="1092"/>
              </w:tabs>
              <w:spacing w:before="40" w:after="40"/>
              <w:ind w:left="720"/>
              <w:rPr>
                <w:color w:val="000000"/>
                <w:sz w:val="16"/>
                <w:szCs w:val="16"/>
                <w:lang w:val="en-GB" w:eastAsia="fr-FR"/>
              </w:rPr>
            </w:pP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>(f)</w:t>
            </w:r>
            <w:r w:rsidRPr="00E764A0">
              <w:rPr>
                <w:i/>
                <w:color w:val="000000"/>
                <w:sz w:val="16"/>
                <w:szCs w:val="16"/>
                <w:lang w:val="en-GB" w:eastAsia="fr-FR"/>
              </w:rPr>
              <w:tab/>
              <w:t>Mining Concession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MLME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Scientific Research Fund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MLME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Auction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lastRenderedPageBreak/>
              <w:t>25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Stumpage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26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Bid Premium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27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Log Export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28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Chain of Custody Management Fee (PSI)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29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Area Fee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30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Forest Product Fee (processed materials)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Sawmill Permit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Non Timber Forest Products (local &amp; export collections)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Timber Export Licence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Block Inspection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MoA/FDA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35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Rubber sales tax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MoA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36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Social Welfare Contribution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NOCAL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37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Annual Training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NOCAL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38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NOCAL / GOL Production shares under PSA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NOCAL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39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Hydrocarbon Development Fund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NOCAL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40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Research Vessels Tonnage Tax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LMA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41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Supply Vessel Annual Tonnage Tax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LMA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42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Aircraft Inspection Fees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LCAA</w:t>
            </w:r>
          </w:p>
        </w:tc>
      </w:tr>
      <w:tr w:rsidR="0049402E" w:rsidRPr="0049402E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43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:rsidR="0049402E" w:rsidRPr="0049402E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Fees &amp; charges paid to NPA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:rsidR="0049402E" w:rsidRPr="0049402E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49402E">
              <w:rPr>
                <w:color w:val="000000"/>
                <w:sz w:val="16"/>
                <w:szCs w:val="16"/>
                <w:lang w:val="en-GB" w:eastAsia="fr-FR"/>
              </w:rPr>
              <w:t>NPA</w:t>
            </w:r>
          </w:p>
        </w:tc>
      </w:tr>
      <w:tr w:rsidR="0049402E" w:rsidRPr="00DF6CA0" w:rsidTr="00961EA2">
        <w:trPr>
          <w:cantSplit/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402E" w:rsidRPr="00DF6CA0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44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402E" w:rsidRPr="00DF6CA0" w:rsidRDefault="0049402E" w:rsidP="00BE510A">
            <w:pPr>
              <w:spacing w:before="40" w:after="40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Other significant payments (&gt; 10,000 USD)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402E" w:rsidRPr="00DF6CA0" w:rsidRDefault="0049402E" w:rsidP="00BE510A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en-GB" w:eastAsia="fr-FR"/>
              </w:rPr>
            </w:pPr>
            <w:r w:rsidRPr="00DF6CA0">
              <w:rPr>
                <w:color w:val="000000"/>
                <w:sz w:val="16"/>
                <w:szCs w:val="16"/>
                <w:lang w:val="en-GB" w:eastAsia="fr-FR"/>
              </w:rPr>
              <w:t>All</w:t>
            </w:r>
          </w:p>
        </w:tc>
      </w:tr>
    </w:tbl>
    <w:p w:rsidR="0049402E" w:rsidRPr="00DF6CA0" w:rsidRDefault="0049402E" w:rsidP="00674723">
      <w:pPr>
        <w:jc w:val="both"/>
        <w:rPr>
          <w:lang w:val="en-GB"/>
        </w:rPr>
      </w:pPr>
    </w:p>
    <w:sectPr w:rsidR="0049402E" w:rsidRPr="00DF6CA0" w:rsidSect="007179AB">
      <w:footerReference w:type="even" r:id="rId22"/>
      <w:footerReference w:type="default" r:id="rId23"/>
      <w:pgSz w:w="12240" w:h="15840"/>
      <w:pgMar w:top="1110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7B" w:rsidRDefault="00A0407B">
      <w:r>
        <w:separator/>
      </w:r>
    </w:p>
  </w:endnote>
  <w:endnote w:type="continuationSeparator" w:id="0">
    <w:p w:rsidR="00A0407B" w:rsidRDefault="00A0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A0" w:rsidRDefault="00DF6CA0" w:rsidP="00A07C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CA0" w:rsidRDefault="00DF6CA0" w:rsidP="005730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A0" w:rsidRDefault="00DF6CA0" w:rsidP="00E328AC">
    <w:pPr>
      <w:jc w:val="right"/>
      <w:rPr>
        <w:lang w:val="fr-FR"/>
      </w:rPr>
    </w:pPr>
    <w:r>
      <w:rPr>
        <w:lang w:val="fr-FR"/>
      </w:rPr>
      <w:t xml:space="preserve">Page </w:t>
    </w: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9F38BB">
      <w:rPr>
        <w:noProof/>
        <w:lang w:val="fr-FR"/>
      </w:rPr>
      <w:t>7</w:t>
    </w:r>
    <w:r>
      <w:rPr>
        <w:lang w:val="fr-FR"/>
      </w:rP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</w:instrText>
    </w:r>
    <w:r>
      <w:rPr>
        <w:lang w:val="fr-FR"/>
      </w:rPr>
      <w:fldChar w:fldCharType="separate"/>
    </w:r>
    <w:r w:rsidR="009F38BB">
      <w:rPr>
        <w:noProof/>
        <w:lang w:val="fr-FR"/>
      </w:rPr>
      <w:t>10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7B" w:rsidRDefault="00A0407B">
      <w:r>
        <w:separator/>
      </w:r>
    </w:p>
  </w:footnote>
  <w:footnote w:type="continuationSeparator" w:id="0">
    <w:p w:rsidR="00A0407B" w:rsidRDefault="00A0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4188"/>
    <w:multiLevelType w:val="multilevel"/>
    <w:tmpl w:val="5AF62D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ED01B5"/>
    <w:multiLevelType w:val="hybridMultilevel"/>
    <w:tmpl w:val="6BD07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360"/>
    <w:multiLevelType w:val="hybridMultilevel"/>
    <w:tmpl w:val="C8A61A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30B"/>
    <w:multiLevelType w:val="hybridMultilevel"/>
    <w:tmpl w:val="EF646C10"/>
    <w:lvl w:ilvl="0" w:tplc="1584D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74C8C"/>
    <w:multiLevelType w:val="multilevel"/>
    <w:tmpl w:val="BB809E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SBulletLevel2"/>
      <w:lvlText w:val="♦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pStyle w:val="MSBulletLevel3"/>
      <w:lvlText w:val="-"/>
      <w:lvlJc w:val="left"/>
      <w:pPr>
        <w:tabs>
          <w:tab w:val="num" w:pos="1701"/>
        </w:tabs>
        <w:ind w:left="1701" w:hanging="567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5">
    <w:nsid w:val="26D913F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A960489"/>
    <w:multiLevelType w:val="multilevel"/>
    <w:tmpl w:val="D178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B9C4759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9A82C9A"/>
    <w:multiLevelType w:val="hybridMultilevel"/>
    <w:tmpl w:val="85F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A756A"/>
    <w:multiLevelType w:val="hybridMultilevel"/>
    <w:tmpl w:val="997CD39C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F117A8"/>
    <w:multiLevelType w:val="hybridMultilevel"/>
    <w:tmpl w:val="8EE099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73B72"/>
    <w:multiLevelType w:val="hybridMultilevel"/>
    <w:tmpl w:val="6B2C0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E03D7"/>
    <w:multiLevelType w:val="hybridMultilevel"/>
    <w:tmpl w:val="C206E44A"/>
    <w:lvl w:ilvl="0" w:tplc="501EE9BA">
      <w:start w:val="1"/>
      <w:numFmt w:val="lowerRoman"/>
      <w:lvlText w:val="(%1)"/>
      <w:lvlJc w:val="left"/>
      <w:pPr>
        <w:ind w:left="644" w:hanging="360"/>
      </w:pPr>
      <w:rPr>
        <w:rFonts w:hint="default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460B4"/>
    <w:multiLevelType w:val="hybridMultilevel"/>
    <w:tmpl w:val="6B7602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40478"/>
    <w:multiLevelType w:val="hybridMultilevel"/>
    <w:tmpl w:val="5B183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C0611"/>
    <w:multiLevelType w:val="hybridMultilevel"/>
    <w:tmpl w:val="997CD39C"/>
    <w:lvl w:ilvl="0" w:tplc="5456BE9A">
      <w:start w:val="1"/>
      <w:numFmt w:val="lowerLetter"/>
      <w:lvlText w:val="%1."/>
      <w:lvlJc w:val="left"/>
      <w:pPr>
        <w:ind w:left="780" w:hanging="360"/>
      </w:pPr>
    </w:lvl>
    <w:lvl w:ilvl="1" w:tplc="040C0003" w:tentative="1">
      <w:start w:val="1"/>
      <w:numFmt w:val="lowerLetter"/>
      <w:lvlText w:val="%2."/>
      <w:lvlJc w:val="left"/>
      <w:pPr>
        <w:ind w:left="1500" w:hanging="360"/>
      </w:pPr>
    </w:lvl>
    <w:lvl w:ilvl="2" w:tplc="040C0005" w:tentative="1">
      <w:start w:val="1"/>
      <w:numFmt w:val="lowerRoman"/>
      <w:lvlText w:val="%3."/>
      <w:lvlJc w:val="right"/>
      <w:pPr>
        <w:ind w:left="2220" w:hanging="180"/>
      </w:pPr>
    </w:lvl>
    <w:lvl w:ilvl="3" w:tplc="040C0001" w:tentative="1">
      <w:start w:val="1"/>
      <w:numFmt w:val="decimal"/>
      <w:lvlText w:val="%4."/>
      <w:lvlJc w:val="left"/>
      <w:pPr>
        <w:ind w:left="2940" w:hanging="360"/>
      </w:pPr>
    </w:lvl>
    <w:lvl w:ilvl="4" w:tplc="040C0003" w:tentative="1">
      <w:start w:val="1"/>
      <w:numFmt w:val="lowerLetter"/>
      <w:lvlText w:val="%5."/>
      <w:lvlJc w:val="left"/>
      <w:pPr>
        <w:ind w:left="3660" w:hanging="360"/>
      </w:pPr>
    </w:lvl>
    <w:lvl w:ilvl="5" w:tplc="040C0005" w:tentative="1">
      <w:start w:val="1"/>
      <w:numFmt w:val="lowerRoman"/>
      <w:lvlText w:val="%6."/>
      <w:lvlJc w:val="right"/>
      <w:pPr>
        <w:ind w:left="4380" w:hanging="180"/>
      </w:pPr>
    </w:lvl>
    <w:lvl w:ilvl="6" w:tplc="040C0001" w:tentative="1">
      <w:start w:val="1"/>
      <w:numFmt w:val="decimal"/>
      <w:lvlText w:val="%7."/>
      <w:lvlJc w:val="left"/>
      <w:pPr>
        <w:ind w:left="5100" w:hanging="360"/>
      </w:pPr>
    </w:lvl>
    <w:lvl w:ilvl="7" w:tplc="040C0003" w:tentative="1">
      <w:start w:val="1"/>
      <w:numFmt w:val="lowerLetter"/>
      <w:lvlText w:val="%8."/>
      <w:lvlJc w:val="left"/>
      <w:pPr>
        <w:ind w:left="5820" w:hanging="360"/>
      </w:pPr>
    </w:lvl>
    <w:lvl w:ilvl="8" w:tplc="040C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1BF2D72"/>
    <w:multiLevelType w:val="hybridMultilevel"/>
    <w:tmpl w:val="533697BE"/>
    <w:lvl w:ilvl="0" w:tplc="040C000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06902"/>
    <w:multiLevelType w:val="hybridMultilevel"/>
    <w:tmpl w:val="997CD39C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3C21EDC"/>
    <w:multiLevelType w:val="hybridMultilevel"/>
    <w:tmpl w:val="EB36FC5E"/>
    <w:lvl w:ilvl="0" w:tplc="68609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87E6A"/>
    <w:multiLevelType w:val="hybridMultilevel"/>
    <w:tmpl w:val="11F2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D69D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11"/>
  </w:num>
  <w:num w:numId="11">
    <w:abstractNumId w:val="1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5"/>
  </w:num>
  <w:num w:numId="22">
    <w:abstractNumId w:val="16"/>
  </w:num>
  <w:num w:numId="23">
    <w:abstractNumId w:val="13"/>
  </w:num>
  <w:num w:numId="24">
    <w:abstractNumId w:val="3"/>
  </w:num>
  <w:num w:numId="25">
    <w:abstractNumId w:val="14"/>
  </w:num>
  <w:num w:numId="26">
    <w:abstractNumId w:val="2"/>
  </w:num>
  <w:num w:numId="27">
    <w:abstractNumId w:val="6"/>
  </w:num>
  <w:num w:numId="28">
    <w:abstractNumId w:val="9"/>
  </w:num>
  <w:num w:numId="29">
    <w:abstractNumId w:val="12"/>
  </w:num>
  <w:num w:numId="30">
    <w:abstractNumId w:val="6"/>
  </w:num>
  <w:num w:numId="31">
    <w:abstractNumId w:val="19"/>
  </w:num>
  <w:num w:numId="32">
    <w:abstractNumId w:val="1"/>
  </w:num>
  <w:num w:numId="3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E0"/>
    <w:rsid w:val="000020D8"/>
    <w:rsid w:val="00003B07"/>
    <w:rsid w:val="0000550E"/>
    <w:rsid w:val="00015716"/>
    <w:rsid w:val="000223B1"/>
    <w:rsid w:val="00032D16"/>
    <w:rsid w:val="00033DAE"/>
    <w:rsid w:val="0003521F"/>
    <w:rsid w:val="00045EA0"/>
    <w:rsid w:val="0005074C"/>
    <w:rsid w:val="00052C6A"/>
    <w:rsid w:val="00063740"/>
    <w:rsid w:val="000648F5"/>
    <w:rsid w:val="0006616B"/>
    <w:rsid w:val="00070451"/>
    <w:rsid w:val="0007049B"/>
    <w:rsid w:val="00074A3B"/>
    <w:rsid w:val="000819E8"/>
    <w:rsid w:val="00086CC0"/>
    <w:rsid w:val="000909F6"/>
    <w:rsid w:val="0009628E"/>
    <w:rsid w:val="000A2801"/>
    <w:rsid w:val="000B29F7"/>
    <w:rsid w:val="000B42E5"/>
    <w:rsid w:val="000C407A"/>
    <w:rsid w:val="000C4429"/>
    <w:rsid w:val="000C4FEB"/>
    <w:rsid w:val="000D1337"/>
    <w:rsid w:val="000D7A8D"/>
    <w:rsid w:val="000E37D2"/>
    <w:rsid w:val="000E4690"/>
    <w:rsid w:val="000E5965"/>
    <w:rsid w:val="000F3955"/>
    <w:rsid w:val="000F40E1"/>
    <w:rsid w:val="00104083"/>
    <w:rsid w:val="001040C6"/>
    <w:rsid w:val="00110311"/>
    <w:rsid w:val="00120286"/>
    <w:rsid w:val="001301FD"/>
    <w:rsid w:val="0013112F"/>
    <w:rsid w:val="00135D81"/>
    <w:rsid w:val="00136FCB"/>
    <w:rsid w:val="00161594"/>
    <w:rsid w:val="0016181A"/>
    <w:rsid w:val="0016238B"/>
    <w:rsid w:val="001639E2"/>
    <w:rsid w:val="001643F6"/>
    <w:rsid w:val="001704C1"/>
    <w:rsid w:val="0017364D"/>
    <w:rsid w:val="00176FA0"/>
    <w:rsid w:val="0017706D"/>
    <w:rsid w:val="00193B2F"/>
    <w:rsid w:val="001A1D36"/>
    <w:rsid w:val="001D00D1"/>
    <w:rsid w:val="001D1CA2"/>
    <w:rsid w:val="001E0823"/>
    <w:rsid w:val="001E5246"/>
    <w:rsid w:val="001E6F3D"/>
    <w:rsid w:val="001F7D76"/>
    <w:rsid w:val="00204B7B"/>
    <w:rsid w:val="0020715D"/>
    <w:rsid w:val="002234F0"/>
    <w:rsid w:val="00224665"/>
    <w:rsid w:val="00226DCA"/>
    <w:rsid w:val="00233BE5"/>
    <w:rsid w:val="00241518"/>
    <w:rsid w:val="00244B76"/>
    <w:rsid w:val="00247D83"/>
    <w:rsid w:val="00255917"/>
    <w:rsid w:val="00257164"/>
    <w:rsid w:val="0028297C"/>
    <w:rsid w:val="002846F8"/>
    <w:rsid w:val="002855EB"/>
    <w:rsid w:val="002A0ACB"/>
    <w:rsid w:val="002A5F4E"/>
    <w:rsid w:val="002B36DF"/>
    <w:rsid w:val="002C1C77"/>
    <w:rsid w:val="002C2698"/>
    <w:rsid w:val="002C6226"/>
    <w:rsid w:val="002D69D0"/>
    <w:rsid w:val="002D740C"/>
    <w:rsid w:val="002D7921"/>
    <w:rsid w:val="002E17C3"/>
    <w:rsid w:val="002E3300"/>
    <w:rsid w:val="002E5A2E"/>
    <w:rsid w:val="002F3C54"/>
    <w:rsid w:val="002F7A6D"/>
    <w:rsid w:val="00301EF7"/>
    <w:rsid w:val="0030267F"/>
    <w:rsid w:val="00306ED5"/>
    <w:rsid w:val="00315BE8"/>
    <w:rsid w:val="00317A9A"/>
    <w:rsid w:val="00330425"/>
    <w:rsid w:val="003402B0"/>
    <w:rsid w:val="00342B36"/>
    <w:rsid w:val="00345B04"/>
    <w:rsid w:val="00346B66"/>
    <w:rsid w:val="00351707"/>
    <w:rsid w:val="00354E4F"/>
    <w:rsid w:val="0035539C"/>
    <w:rsid w:val="00355D4B"/>
    <w:rsid w:val="00364D78"/>
    <w:rsid w:val="00365F99"/>
    <w:rsid w:val="00366D92"/>
    <w:rsid w:val="00375B92"/>
    <w:rsid w:val="00375D4C"/>
    <w:rsid w:val="00375D8D"/>
    <w:rsid w:val="00376391"/>
    <w:rsid w:val="00377F3A"/>
    <w:rsid w:val="00386CDB"/>
    <w:rsid w:val="00397997"/>
    <w:rsid w:val="003A2277"/>
    <w:rsid w:val="003A265D"/>
    <w:rsid w:val="003A4D34"/>
    <w:rsid w:val="003A6C6D"/>
    <w:rsid w:val="003B2ABA"/>
    <w:rsid w:val="003C6DAA"/>
    <w:rsid w:val="003D44E0"/>
    <w:rsid w:val="003D6673"/>
    <w:rsid w:val="003E04C4"/>
    <w:rsid w:val="003E1BA0"/>
    <w:rsid w:val="003F3C28"/>
    <w:rsid w:val="003F6BD5"/>
    <w:rsid w:val="00406C8C"/>
    <w:rsid w:val="00407CE2"/>
    <w:rsid w:val="0041054E"/>
    <w:rsid w:val="00410E8C"/>
    <w:rsid w:val="004133EC"/>
    <w:rsid w:val="00414534"/>
    <w:rsid w:val="00416527"/>
    <w:rsid w:val="00423913"/>
    <w:rsid w:val="004308E7"/>
    <w:rsid w:val="00431241"/>
    <w:rsid w:val="00431820"/>
    <w:rsid w:val="004403A4"/>
    <w:rsid w:val="0045134F"/>
    <w:rsid w:val="00451D07"/>
    <w:rsid w:val="00485FD1"/>
    <w:rsid w:val="00486999"/>
    <w:rsid w:val="00487B24"/>
    <w:rsid w:val="00491E27"/>
    <w:rsid w:val="0049402E"/>
    <w:rsid w:val="00494DF5"/>
    <w:rsid w:val="00495498"/>
    <w:rsid w:val="004A158B"/>
    <w:rsid w:val="004B18AE"/>
    <w:rsid w:val="004B1C27"/>
    <w:rsid w:val="004B25BD"/>
    <w:rsid w:val="004B7963"/>
    <w:rsid w:val="004B7C8B"/>
    <w:rsid w:val="004C3753"/>
    <w:rsid w:val="004C4319"/>
    <w:rsid w:val="004D1950"/>
    <w:rsid w:val="004D20F1"/>
    <w:rsid w:val="004E1AC5"/>
    <w:rsid w:val="004E48C4"/>
    <w:rsid w:val="004E6612"/>
    <w:rsid w:val="00502D82"/>
    <w:rsid w:val="00506CAE"/>
    <w:rsid w:val="0051002F"/>
    <w:rsid w:val="00514C2D"/>
    <w:rsid w:val="005158A0"/>
    <w:rsid w:val="00521E10"/>
    <w:rsid w:val="00526A5C"/>
    <w:rsid w:val="00530DB9"/>
    <w:rsid w:val="005571D3"/>
    <w:rsid w:val="005575F9"/>
    <w:rsid w:val="00560100"/>
    <w:rsid w:val="005674DB"/>
    <w:rsid w:val="005730B8"/>
    <w:rsid w:val="00581D49"/>
    <w:rsid w:val="00584B33"/>
    <w:rsid w:val="005A5EA9"/>
    <w:rsid w:val="005A7C36"/>
    <w:rsid w:val="005C39AC"/>
    <w:rsid w:val="005C41D5"/>
    <w:rsid w:val="005D319D"/>
    <w:rsid w:val="005D476F"/>
    <w:rsid w:val="005D6255"/>
    <w:rsid w:val="00603EA2"/>
    <w:rsid w:val="00614049"/>
    <w:rsid w:val="00637CEE"/>
    <w:rsid w:val="006414AC"/>
    <w:rsid w:val="006440F7"/>
    <w:rsid w:val="0064555A"/>
    <w:rsid w:val="006509E5"/>
    <w:rsid w:val="006530EF"/>
    <w:rsid w:val="00663440"/>
    <w:rsid w:val="006638E3"/>
    <w:rsid w:val="00663993"/>
    <w:rsid w:val="00671F23"/>
    <w:rsid w:val="006737A5"/>
    <w:rsid w:val="00674723"/>
    <w:rsid w:val="00682C5C"/>
    <w:rsid w:val="0069206C"/>
    <w:rsid w:val="006928DA"/>
    <w:rsid w:val="006C1DE7"/>
    <w:rsid w:val="006C28F1"/>
    <w:rsid w:val="006C43F2"/>
    <w:rsid w:val="006D5E07"/>
    <w:rsid w:val="006E082A"/>
    <w:rsid w:val="006F4200"/>
    <w:rsid w:val="00704D32"/>
    <w:rsid w:val="007050B3"/>
    <w:rsid w:val="00705445"/>
    <w:rsid w:val="00712335"/>
    <w:rsid w:val="00713EED"/>
    <w:rsid w:val="007170B1"/>
    <w:rsid w:val="007179AB"/>
    <w:rsid w:val="00721B28"/>
    <w:rsid w:val="00724494"/>
    <w:rsid w:val="00730FF0"/>
    <w:rsid w:val="00736DF4"/>
    <w:rsid w:val="00741F23"/>
    <w:rsid w:val="00742C70"/>
    <w:rsid w:val="00742DCA"/>
    <w:rsid w:val="0075604B"/>
    <w:rsid w:val="00757AA4"/>
    <w:rsid w:val="00762B93"/>
    <w:rsid w:val="00764CA0"/>
    <w:rsid w:val="007705F2"/>
    <w:rsid w:val="0077246F"/>
    <w:rsid w:val="007762D2"/>
    <w:rsid w:val="00783960"/>
    <w:rsid w:val="00785BD2"/>
    <w:rsid w:val="00791559"/>
    <w:rsid w:val="007A451D"/>
    <w:rsid w:val="007A7EE9"/>
    <w:rsid w:val="007B45EF"/>
    <w:rsid w:val="007B5D7A"/>
    <w:rsid w:val="007C3D8E"/>
    <w:rsid w:val="007C67E2"/>
    <w:rsid w:val="007C7ECF"/>
    <w:rsid w:val="007F0F13"/>
    <w:rsid w:val="007F1544"/>
    <w:rsid w:val="007F514F"/>
    <w:rsid w:val="007F66BD"/>
    <w:rsid w:val="008015DE"/>
    <w:rsid w:val="00810B59"/>
    <w:rsid w:val="0081166B"/>
    <w:rsid w:val="00827914"/>
    <w:rsid w:val="0083169C"/>
    <w:rsid w:val="0083347C"/>
    <w:rsid w:val="00837B28"/>
    <w:rsid w:val="00843768"/>
    <w:rsid w:val="00844565"/>
    <w:rsid w:val="00851C47"/>
    <w:rsid w:val="00855CB1"/>
    <w:rsid w:val="008662DB"/>
    <w:rsid w:val="00872BCF"/>
    <w:rsid w:val="00893ED1"/>
    <w:rsid w:val="008A00B7"/>
    <w:rsid w:val="008A44FA"/>
    <w:rsid w:val="008A68C8"/>
    <w:rsid w:val="008A79EF"/>
    <w:rsid w:val="008B4D5F"/>
    <w:rsid w:val="008B4E5B"/>
    <w:rsid w:val="008B5EB3"/>
    <w:rsid w:val="008C1214"/>
    <w:rsid w:val="008E3CC6"/>
    <w:rsid w:val="008E72DE"/>
    <w:rsid w:val="008F02ED"/>
    <w:rsid w:val="008F249F"/>
    <w:rsid w:val="00902215"/>
    <w:rsid w:val="00903855"/>
    <w:rsid w:val="00910916"/>
    <w:rsid w:val="00912F79"/>
    <w:rsid w:val="009208D1"/>
    <w:rsid w:val="00921F52"/>
    <w:rsid w:val="00925023"/>
    <w:rsid w:val="00936783"/>
    <w:rsid w:val="009416D5"/>
    <w:rsid w:val="00945864"/>
    <w:rsid w:val="009542A7"/>
    <w:rsid w:val="00961EA2"/>
    <w:rsid w:val="00965AE8"/>
    <w:rsid w:val="00966629"/>
    <w:rsid w:val="00977AF3"/>
    <w:rsid w:val="00983AE9"/>
    <w:rsid w:val="00984E09"/>
    <w:rsid w:val="00993F3A"/>
    <w:rsid w:val="00995302"/>
    <w:rsid w:val="009A3BB2"/>
    <w:rsid w:val="009B487B"/>
    <w:rsid w:val="009B7938"/>
    <w:rsid w:val="009D384F"/>
    <w:rsid w:val="009D389E"/>
    <w:rsid w:val="009D7C5D"/>
    <w:rsid w:val="009E116D"/>
    <w:rsid w:val="009E7BFA"/>
    <w:rsid w:val="009F38BB"/>
    <w:rsid w:val="009F63B3"/>
    <w:rsid w:val="009F6879"/>
    <w:rsid w:val="00A03831"/>
    <w:rsid w:val="00A0407B"/>
    <w:rsid w:val="00A0696A"/>
    <w:rsid w:val="00A07C4F"/>
    <w:rsid w:val="00A10C0D"/>
    <w:rsid w:val="00A21CEC"/>
    <w:rsid w:val="00A239CA"/>
    <w:rsid w:val="00A359E0"/>
    <w:rsid w:val="00A35E91"/>
    <w:rsid w:val="00A36445"/>
    <w:rsid w:val="00A417B9"/>
    <w:rsid w:val="00A4584E"/>
    <w:rsid w:val="00A462EB"/>
    <w:rsid w:val="00A54C6F"/>
    <w:rsid w:val="00A57E4E"/>
    <w:rsid w:val="00A606FA"/>
    <w:rsid w:val="00A61D95"/>
    <w:rsid w:val="00A637B8"/>
    <w:rsid w:val="00A643FB"/>
    <w:rsid w:val="00A661F0"/>
    <w:rsid w:val="00A663E4"/>
    <w:rsid w:val="00A77E2E"/>
    <w:rsid w:val="00A91B84"/>
    <w:rsid w:val="00AA7A75"/>
    <w:rsid w:val="00AB3AA9"/>
    <w:rsid w:val="00AC2A36"/>
    <w:rsid w:val="00AC7B09"/>
    <w:rsid w:val="00AD385D"/>
    <w:rsid w:val="00AE0D45"/>
    <w:rsid w:val="00AE135C"/>
    <w:rsid w:val="00AF75E5"/>
    <w:rsid w:val="00B03052"/>
    <w:rsid w:val="00B04658"/>
    <w:rsid w:val="00B05EBF"/>
    <w:rsid w:val="00B06677"/>
    <w:rsid w:val="00B078F3"/>
    <w:rsid w:val="00B14F6A"/>
    <w:rsid w:val="00B26450"/>
    <w:rsid w:val="00B274B5"/>
    <w:rsid w:val="00B33F4A"/>
    <w:rsid w:val="00B40E56"/>
    <w:rsid w:val="00B51971"/>
    <w:rsid w:val="00B519E7"/>
    <w:rsid w:val="00B564EB"/>
    <w:rsid w:val="00B83614"/>
    <w:rsid w:val="00B85416"/>
    <w:rsid w:val="00B91CD4"/>
    <w:rsid w:val="00B94C41"/>
    <w:rsid w:val="00B96CBA"/>
    <w:rsid w:val="00B971F8"/>
    <w:rsid w:val="00BA0F5C"/>
    <w:rsid w:val="00BA2760"/>
    <w:rsid w:val="00BA395B"/>
    <w:rsid w:val="00BA741A"/>
    <w:rsid w:val="00BA79A3"/>
    <w:rsid w:val="00BB3890"/>
    <w:rsid w:val="00BB41AE"/>
    <w:rsid w:val="00BB4C02"/>
    <w:rsid w:val="00BC0A7B"/>
    <w:rsid w:val="00BC2A56"/>
    <w:rsid w:val="00BC53AE"/>
    <w:rsid w:val="00BC5C87"/>
    <w:rsid w:val="00BD3899"/>
    <w:rsid w:val="00BD3C7A"/>
    <w:rsid w:val="00BD5A71"/>
    <w:rsid w:val="00BE510A"/>
    <w:rsid w:val="00BE76C7"/>
    <w:rsid w:val="00BF1ED1"/>
    <w:rsid w:val="00C06AE4"/>
    <w:rsid w:val="00C06D54"/>
    <w:rsid w:val="00C10301"/>
    <w:rsid w:val="00C12481"/>
    <w:rsid w:val="00C1580D"/>
    <w:rsid w:val="00C2128B"/>
    <w:rsid w:val="00C236E8"/>
    <w:rsid w:val="00C2681A"/>
    <w:rsid w:val="00C32725"/>
    <w:rsid w:val="00C33134"/>
    <w:rsid w:val="00C34B6F"/>
    <w:rsid w:val="00C35C6B"/>
    <w:rsid w:val="00C3711A"/>
    <w:rsid w:val="00C44225"/>
    <w:rsid w:val="00C517A2"/>
    <w:rsid w:val="00C54305"/>
    <w:rsid w:val="00C563FE"/>
    <w:rsid w:val="00C610C5"/>
    <w:rsid w:val="00C62DE1"/>
    <w:rsid w:val="00C739E1"/>
    <w:rsid w:val="00C76A53"/>
    <w:rsid w:val="00C8420D"/>
    <w:rsid w:val="00C90DBD"/>
    <w:rsid w:val="00C92EB5"/>
    <w:rsid w:val="00C9414E"/>
    <w:rsid w:val="00C94B35"/>
    <w:rsid w:val="00CA1B7C"/>
    <w:rsid w:val="00CA28A9"/>
    <w:rsid w:val="00CB38A4"/>
    <w:rsid w:val="00CB54C1"/>
    <w:rsid w:val="00CB624D"/>
    <w:rsid w:val="00CC1F28"/>
    <w:rsid w:val="00CC3F7B"/>
    <w:rsid w:val="00CC6272"/>
    <w:rsid w:val="00CF51A6"/>
    <w:rsid w:val="00D00CFF"/>
    <w:rsid w:val="00D020A2"/>
    <w:rsid w:val="00D1030C"/>
    <w:rsid w:val="00D21D39"/>
    <w:rsid w:val="00D26D42"/>
    <w:rsid w:val="00D26FAB"/>
    <w:rsid w:val="00D376C5"/>
    <w:rsid w:val="00D411AB"/>
    <w:rsid w:val="00D416DA"/>
    <w:rsid w:val="00D50364"/>
    <w:rsid w:val="00D528B7"/>
    <w:rsid w:val="00D52EBA"/>
    <w:rsid w:val="00D63208"/>
    <w:rsid w:val="00D63DBA"/>
    <w:rsid w:val="00D65C1B"/>
    <w:rsid w:val="00D67ACF"/>
    <w:rsid w:val="00D728EE"/>
    <w:rsid w:val="00D73382"/>
    <w:rsid w:val="00D9186A"/>
    <w:rsid w:val="00D9189F"/>
    <w:rsid w:val="00DA1452"/>
    <w:rsid w:val="00DA4BBF"/>
    <w:rsid w:val="00DB4DA6"/>
    <w:rsid w:val="00DC5628"/>
    <w:rsid w:val="00DF1658"/>
    <w:rsid w:val="00DF6CA0"/>
    <w:rsid w:val="00DF7952"/>
    <w:rsid w:val="00E051B3"/>
    <w:rsid w:val="00E17BDE"/>
    <w:rsid w:val="00E248B5"/>
    <w:rsid w:val="00E25F2E"/>
    <w:rsid w:val="00E27841"/>
    <w:rsid w:val="00E328AC"/>
    <w:rsid w:val="00E35A8E"/>
    <w:rsid w:val="00E40203"/>
    <w:rsid w:val="00E54687"/>
    <w:rsid w:val="00E54D20"/>
    <w:rsid w:val="00E5516E"/>
    <w:rsid w:val="00E56915"/>
    <w:rsid w:val="00E61628"/>
    <w:rsid w:val="00E63083"/>
    <w:rsid w:val="00E64112"/>
    <w:rsid w:val="00E764A0"/>
    <w:rsid w:val="00E81584"/>
    <w:rsid w:val="00E92AC1"/>
    <w:rsid w:val="00E96398"/>
    <w:rsid w:val="00EA1805"/>
    <w:rsid w:val="00EA225A"/>
    <w:rsid w:val="00EA4B57"/>
    <w:rsid w:val="00EA67BE"/>
    <w:rsid w:val="00EA6EE0"/>
    <w:rsid w:val="00EB1AAC"/>
    <w:rsid w:val="00EB3EEE"/>
    <w:rsid w:val="00EC1D6F"/>
    <w:rsid w:val="00EC39B6"/>
    <w:rsid w:val="00EC65E7"/>
    <w:rsid w:val="00EE157D"/>
    <w:rsid w:val="00EE2A25"/>
    <w:rsid w:val="00EF0F54"/>
    <w:rsid w:val="00EF3F9A"/>
    <w:rsid w:val="00EF5085"/>
    <w:rsid w:val="00F013C8"/>
    <w:rsid w:val="00F06DAD"/>
    <w:rsid w:val="00F10825"/>
    <w:rsid w:val="00F15B93"/>
    <w:rsid w:val="00F17E5B"/>
    <w:rsid w:val="00F20536"/>
    <w:rsid w:val="00F42BAA"/>
    <w:rsid w:val="00F47453"/>
    <w:rsid w:val="00F5666F"/>
    <w:rsid w:val="00F640FA"/>
    <w:rsid w:val="00F6600B"/>
    <w:rsid w:val="00F66F12"/>
    <w:rsid w:val="00F71250"/>
    <w:rsid w:val="00F72E55"/>
    <w:rsid w:val="00F73F09"/>
    <w:rsid w:val="00F76B6A"/>
    <w:rsid w:val="00F8334B"/>
    <w:rsid w:val="00F87D08"/>
    <w:rsid w:val="00FA1220"/>
    <w:rsid w:val="00FA1AFF"/>
    <w:rsid w:val="00FA5704"/>
    <w:rsid w:val="00FB592B"/>
    <w:rsid w:val="00FB6E9B"/>
    <w:rsid w:val="00FC35DB"/>
    <w:rsid w:val="00FC5C46"/>
    <w:rsid w:val="00FC7046"/>
    <w:rsid w:val="00FC7D3F"/>
    <w:rsid w:val="00FD791E"/>
    <w:rsid w:val="00FE4B74"/>
    <w:rsid w:val="00FE6B04"/>
    <w:rsid w:val="00FF00E9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FCB"/>
    <w:rPr>
      <w:rFonts w:ascii="Arial" w:hAnsi="Arial" w:cs="Arial"/>
      <w:lang w:val="en-US" w:eastAsia="en-US"/>
    </w:rPr>
  </w:style>
  <w:style w:type="paragraph" w:styleId="Heading1">
    <w:name w:val="heading 1"/>
    <w:aliases w:val="1,Heading 1 Char,Heading 1 Char1 Char,Heading 1 Char Char Char,Heading 1 Char1 Char Char Char,Heading 1 Char Char Char Char Char,Heading 1 Char1 Char Char Char Char Char,Heading 1 Char Char Char Char Char Char Char,Heading 1 Char1 Char1"/>
    <w:basedOn w:val="Normal"/>
    <w:next w:val="Normal"/>
    <w:link w:val="Heading1Char1"/>
    <w:qFormat/>
    <w:rsid w:val="00945864"/>
    <w:pPr>
      <w:keepNext/>
      <w:numPr>
        <w:numId w:val="6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297C"/>
    <w:pPr>
      <w:keepNext/>
      <w:numPr>
        <w:ilvl w:val="1"/>
        <w:numId w:val="30"/>
      </w:numPr>
      <w:shd w:val="clear" w:color="auto" w:fill="D9D9D9"/>
      <w:tabs>
        <w:tab w:val="left" w:pos="480"/>
      </w:tabs>
      <w:spacing w:after="240"/>
      <w:jc w:val="both"/>
      <w:outlineLvl w:val="1"/>
    </w:pPr>
    <w:rPr>
      <w:b/>
      <w:bCs/>
      <w:iCs/>
      <w:sz w:val="24"/>
      <w:szCs w:val="24"/>
      <w:lang w:val="en-GB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C44225"/>
    <w:pPr>
      <w:numPr>
        <w:numId w:val="4"/>
      </w:numPr>
    </w:pPr>
  </w:style>
  <w:style w:type="character" w:styleId="Hyperlink">
    <w:name w:val="Hyperlink"/>
    <w:rsid w:val="008662DB"/>
    <w:rPr>
      <w:color w:val="0000FF"/>
      <w:u w:val="single"/>
    </w:rPr>
  </w:style>
  <w:style w:type="numbering" w:styleId="ArticleSection">
    <w:name w:val="Outline List 3"/>
    <w:basedOn w:val="NoList"/>
    <w:rsid w:val="00C44225"/>
    <w:pPr>
      <w:numPr>
        <w:numId w:val="1"/>
      </w:numPr>
    </w:pPr>
  </w:style>
  <w:style w:type="numbering" w:styleId="111111">
    <w:name w:val="Outline List 2"/>
    <w:basedOn w:val="NoList"/>
    <w:rsid w:val="00C44225"/>
    <w:pPr>
      <w:numPr>
        <w:numId w:val="2"/>
      </w:numPr>
    </w:pPr>
  </w:style>
  <w:style w:type="table" w:styleId="TableGrid">
    <w:name w:val="Table Grid"/>
    <w:basedOn w:val="TableNormal"/>
    <w:rsid w:val="00EB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0B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B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0B8"/>
  </w:style>
  <w:style w:type="paragraph" w:styleId="BalloonText">
    <w:name w:val="Balloon Text"/>
    <w:basedOn w:val="Normal"/>
    <w:semiHidden/>
    <w:rsid w:val="008E3C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45864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9458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1">
    <w:name w:val="Heading 1 Char1"/>
    <w:aliases w:val="1 Char,Heading 1 Char Char,Heading 1 Char1 Char Char,Heading 1 Char Char Char Char,Heading 1 Char1 Char Char Char Char,Heading 1 Char Char Char Char Char Char,Heading 1 Char1 Char Char Char Char Char Char,Heading 1 Char1 Char1 Char"/>
    <w:link w:val="Heading1"/>
    <w:rsid w:val="00945864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7705F2"/>
    <w:pPr>
      <w:ind w:left="720"/>
    </w:pPr>
  </w:style>
  <w:style w:type="character" w:customStyle="1" w:styleId="Heading2Char">
    <w:name w:val="Heading 2 Char"/>
    <w:link w:val="Heading2"/>
    <w:rsid w:val="0028297C"/>
    <w:rPr>
      <w:rFonts w:ascii="Arial" w:hAnsi="Arial" w:cs="Arial"/>
      <w:b/>
      <w:bCs/>
      <w:iCs/>
      <w:sz w:val="24"/>
      <w:szCs w:val="24"/>
      <w:shd w:val="clear" w:color="auto" w:fill="D9D9D9"/>
      <w:lang w:val="en-GB" w:eastAsia="en-US" w:bidi="ar-TN"/>
    </w:rPr>
  </w:style>
  <w:style w:type="paragraph" w:customStyle="1" w:styleId="MSBulletLevel2">
    <w:name w:val="MS Bullet Level 2"/>
    <w:basedOn w:val="Normal"/>
    <w:rsid w:val="00B33F4A"/>
    <w:pPr>
      <w:numPr>
        <w:ilvl w:val="1"/>
        <w:numId w:val="9"/>
      </w:numPr>
      <w:spacing w:after="120"/>
      <w:jc w:val="both"/>
    </w:pPr>
    <w:rPr>
      <w:rFonts w:cs="Times New Roman"/>
      <w:lang w:val="en-GB"/>
    </w:rPr>
  </w:style>
  <w:style w:type="paragraph" w:customStyle="1" w:styleId="MSBulletLevel3">
    <w:name w:val="MS Bullet Level 3"/>
    <w:basedOn w:val="Normal"/>
    <w:rsid w:val="00B33F4A"/>
    <w:pPr>
      <w:numPr>
        <w:ilvl w:val="2"/>
        <w:numId w:val="9"/>
      </w:numPr>
      <w:spacing w:after="120"/>
      <w:jc w:val="both"/>
    </w:pPr>
    <w:rPr>
      <w:rFonts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FCB"/>
    <w:rPr>
      <w:rFonts w:ascii="Arial" w:hAnsi="Arial" w:cs="Arial"/>
      <w:lang w:val="en-US" w:eastAsia="en-US"/>
    </w:rPr>
  </w:style>
  <w:style w:type="paragraph" w:styleId="Heading1">
    <w:name w:val="heading 1"/>
    <w:aliases w:val="1,Heading 1 Char,Heading 1 Char1 Char,Heading 1 Char Char Char,Heading 1 Char1 Char Char Char,Heading 1 Char Char Char Char Char,Heading 1 Char1 Char Char Char Char Char,Heading 1 Char Char Char Char Char Char Char,Heading 1 Char1 Char1"/>
    <w:basedOn w:val="Normal"/>
    <w:next w:val="Normal"/>
    <w:link w:val="Heading1Char1"/>
    <w:qFormat/>
    <w:rsid w:val="00945864"/>
    <w:pPr>
      <w:keepNext/>
      <w:numPr>
        <w:numId w:val="6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297C"/>
    <w:pPr>
      <w:keepNext/>
      <w:numPr>
        <w:ilvl w:val="1"/>
        <w:numId w:val="30"/>
      </w:numPr>
      <w:shd w:val="clear" w:color="auto" w:fill="D9D9D9"/>
      <w:tabs>
        <w:tab w:val="left" w:pos="480"/>
      </w:tabs>
      <w:spacing w:after="240"/>
      <w:jc w:val="both"/>
      <w:outlineLvl w:val="1"/>
    </w:pPr>
    <w:rPr>
      <w:b/>
      <w:bCs/>
      <w:iCs/>
      <w:sz w:val="24"/>
      <w:szCs w:val="24"/>
      <w:lang w:val="en-GB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C44225"/>
    <w:pPr>
      <w:numPr>
        <w:numId w:val="4"/>
      </w:numPr>
    </w:pPr>
  </w:style>
  <w:style w:type="character" w:styleId="Hyperlink">
    <w:name w:val="Hyperlink"/>
    <w:rsid w:val="008662DB"/>
    <w:rPr>
      <w:color w:val="0000FF"/>
      <w:u w:val="single"/>
    </w:rPr>
  </w:style>
  <w:style w:type="numbering" w:styleId="ArticleSection">
    <w:name w:val="Outline List 3"/>
    <w:basedOn w:val="NoList"/>
    <w:rsid w:val="00C44225"/>
    <w:pPr>
      <w:numPr>
        <w:numId w:val="1"/>
      </w:numPr>
    </w:pPr>
  </w:style>
  <w:style w:type="numbering" w:styleId="111111">
    <w:name w:val="Outline List 2"/>
    <w:basedOn w:val="NoList"/>
    <w:rsid w:val="00C44225"/>
    <w:pPr>
      <w:numPr>
        <w:numId w:val="2"/>
      </w:numPr>
    </w:pPr>
  </w:style>
  <w:style w:type="table" w:styleId="TableGrid">
    <w:name w:val="Table Grid"/>
    <w:basedOn w:val="TableNormal"/>
    <w:rsid w:val="00EB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10B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B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0B8"/>
  </w:style>
  <w:style w:type="paragraph" w:styleId="BalloonText">
    <w:name w:val="Balloon Text"/>
    <w:basedOn w:val="Normal"/>
    <w:semiHidden/>
    <w:rsid w:val="008E3C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45864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rsid w:val="009458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1">
    <w:name w:val="Heading 1 Char1"/>
    <w:aliases w:val="1 Char,Heading 1 Char Char,Heading 1 Char1 Char Char,Heading 1 Char Char Char Char,Heading 1 Char1 Char Char Char Char,Heading 1 Char Char Char Char Char Char,Heading 1 Char1 Char Char Char Char Char Char,Heading 1 Char1 Char1 Char"/>
    <w:link w:val="Heading1"/>
    <w:rsid w:val="00945864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7705F2"/>
    <w:pPr>
      <w:ind w:left="720"/>
    </w:pPr>
  </w:style>
  <w:style w:type="character" w:customStyle="1" w:styleId="Heading2Char">
    <w:name w:val="Heading 2 Char"/>
    <w:link w:val="Heading2"/>
    <w:rsid w:val="0028297C"/>
    <w:rPr>
      <w:rFonts w:ascii="Arial" w:hAnsi="Arial" w:cs="Arial"/>
      <w:b/>
      <w:bCs/>
      <w:iCs/>
      <w:sz w:val="24"/>
      <w:szCs w:val="24"/>
      <w:shd w:val="clear" w:color="auto" w:fill="D9D9D9"/>
      <w:lang w:val="en-GB" w:eastAsia="en-US" w:bidi="ar-TN"/>
    </w:rPr>
  </w:style>
  <w:style w:type="paragraph" w:customStyle="1" w:styleId="MSBulletLevel2">
    <w:name w:val="MS Bullet Level 2"/>
    <w:basedOn w:val="Normal"/>
    <w:rsid w:val="00B33F4A"/>
    <w:pPr>
      <w:numPr>
        <w:ilvl w:val="1"/>
        <w:numId w:val="9"/>
      </w:numPr>
      <w:spacing w:after="120"/>
      <w:jc w:val="both"/>
    </w:pPr>
    <w:rPr>
      <w:rFonts w:cs="Times New Roman"/>
      <w:lang w:val="en-GB"/>
    </w:rPr>
  </w:style>
  <w:style w:type="paragraph" w:customStyle="1" w:styleId="MSBulletLevel3">
    <w:name w:val="MS Bullet Level 3"/>
    <w:basedOn w:val="Normal"/>
    <w:rsid w:val="00B33F4A"/>
    <w:pPr>
      <w:numPr>
        <w:ilvl w:val="2"/>
        <w:numId w:val="9"/>
      </w:numPr>
      <w:spacing w:after="120"/>
      <w:jc w:val="both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18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3" Type="http://schemas.openxmlformats.org/officeDocument/2006/relationships/styles" Target="styles.xml"/><Relationship Id="rId21" Type="http://schemas.openxmlformats.org/officeDocument/2006/relationships/hyperlink" Target="mailto:leiti@moorestephen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17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20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19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iti@moorestephens.com" TargetMode="External"/><Relationship Id="rId14" Type="http://schemas.openxmlformats.org/officeDocument/2006/relationships/hyperlink" Target="file:///D:\Users\Meher%20Ben%20Mbarek\Desktop\MS\Assigment\Formulaire%20de%20d&#233;claration%20-%20ITIE%20Burkina%20-%20Ann&#233;e%202012%20(V1t).xls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0DBD-385D-4563-92CD-72A6A009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2394</Words>
  <Characters>13648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completing Reporting Templates</vt:lpstr>
      <vt:lpstr>Instructions for completing Reporting Templates</vt:lpstr>
    </vt:vector>
  </TitlesOfParts>
  <Company>HP</Company>
  <LinksUpToDate>false</LinksUpToDate>
  <CharactersWithSpaces>16010</CharactersWithSpaces>
  <SharedDoc>false</SharedDoc>
  <HLinks>
    <vt:vector size="192" baseType="variant">
      <vt:variant>
        <vt:i4>6488151</vt:i4>
      </vt:variant>
      <vt:variant>
        <vt:i4>93</vt:i4>
      </vt:variant>
      <vt:variant>
        <vt:i4>0</vt:i4>
      </vt:variant>
      <vt:variant>
        <vt:i4>5</vt:i4>
      </vt:variant>
      <vt:variant>
        <vt:lpwstr>mailto:zeiti@moorestephens.com</vt:lpwstr>
      </vt:variant>
      <vt:variant>
        <vt:lpwstr/>
      </vt:variant>
      <vt:variant>
        <vt:i4>15139068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58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56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50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37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35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15139068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13762718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../../../../../../../../../../../../../../../../../../../Users/Meher Ben Mbarek/Desktop/MS/Assigment/Formulaire de déclaration - ITIE Burkina - Année 2012 (V1t).xlsx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mailto:zeiti@moorestephens.com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Reporting Templates</dc:title>
  <dc:creator>Des Crane</dc:creator>
  <cp:lastModifiedBy>User</cp:lastModifiedBy>
  <cp:revision>2</cp:revision>
  <cp:lastPrinted>2013-10-07T14:32:00Z</cp:lastPrinted>
  <dcterms:created xsi:type="dcterms:W3CDTF">2015-06-17T12:03:00Z</dcterms:created>
  <dcterms:modified xsi:type="dcterms:W3CDTF">2015-06-17T12:03:00Z</dcterms:modified>
</cp:coreProperties>
</file>